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2AEB" w14:textId="77777777" w:rsidR="00311D9D" w:rsidRPr="006F2247" w:rsidRDefault="00311D9D" w:rsidP="00311D9D">
      <w:pPr>
        <w:pStyle w:val="Corpsdetexte"/>
        <w:rPr>
          <w:rFonts w:asciiTheme="minorHAnsi" w:hAnsiTheme="minorHAnsi"/>
          <w:u w:val="none"/>
        </w:rPr>
      </w:pPr>
      <w:r w:rsidRPr="006F2247">
        <w:rPr>
          <w:rFonts w:asciiTheme="minorHAnsi" w:hAnsiTheme="minorHAnsi"/>
          <w:u w:val="none"/>
        </w:rPr>
        <w:t xml:space="preserve">DIRECTIVES GÉNÉRALES POUR </w:t>
      </w:r>
      <w:smartTag w:uri="urn:schemas-microsoft-com:office:smarttags" w:element="PersonName">
        <w:smartTagPr>
          <w:attr w:name="ProductID" w:val="LA MANIPULATION DE"/>
        </w:smartTagPr>
        <w:r w:rsidRPr="006F2247">
          <w:rPr>
            <w:rFonts w:asciiTheme="minorHAnsi" w:hAnsiTheme="minorHAnsi"/>
            <w:u w:val="none"/>
          </w:rPr>
          <w:t>LA MANIPULATION DE</w:t>
        </w:r>
      </w:smartTag>
      <w:r w:rsidRPr="006F2247">
        <w:rPr>
          <w:rFonts w:asciiTheme="minorHAnsi" w:hAnsiTheme="minorHAnsi"/>
          <w:u w:val="none"/>
        </w:rPr>
        <w:t xml:space="preserve"> MATÉRIEL CONTENANT DE L’AMIANTE</w:t>
      </w:r>
    </w:p>
    <w:p w14:paraId="4FF5BE63" w14:textId="77777777" w:rsidR="00311D9D" w:rsidRPr="006F2247" w:rsidRDefault="00311D9D" w:rsidP="00311D9D">
      <w:pPr>
        <w:pStyle w:val="Corpsdetexte"/>
        <w:rPr>
          <w:rFonts w:asciiTheme="minorHAnsi" w:hAnsiTheme="minorHAnsi"/>
          <w:u w:val="none"/>
        </w:rPr>
      </w:pPr>
    </w:p>
    <w:p w14:paraId="2195AA31" w14:textId="77777777" w:rsidR="00311D9D" w:rsidRPr="006F2247" w:rsidRDefault="00311D9D" w:rsidP="00311D9D">
      <w:pPr>
        <w:pStyle w:val="Corpsdetexte"/>
        <w:jc w:val="left"/>
        <w:rPr>
          <w:rFonts w:asciiTheme="minorHAnsi" w:hAnsiTheme="minorHAnsi"/>
          <w:u w:val="none"/>
        </w:rPr>
      </w:pPr>
    </w:p>
    <w:p w14:paraId="05AEE58F" w14:textId="77777777" w:rsidR="00311D9D" w:rsidRPr="006F2247" w:rsidRDefault="00311D9D" w:rsidP="00311D9D">
      <w:pPr>
        <w:pStyle w:val="Corpsdetexte"/>
        <w:jc w:val="both"/>
        <w:rPr>
          <w:rFonts w:asciiTheme="minorHAnsi" w:hAnsiTheme="minorHAnsi"/>
          <w:b w:val="0"/>
          <w:u w:val="none"/>
        </w:rPr>
      </w:pPr>
      <w:r w:rsidRPr="006F2247">
        <w:rPr>
          <w:rFonts w:asciiTheme="minorHAnsi" w:hAnsiTheme="minorHAnsi"/>
          <w:b w:val="0"/>
          <w:u w:val="none"/>
        </w:rPr>
        <w:t>Ces directives générales s’appliquent à tous les membres du personnel des Ressources matérielles.</w:t>
      </w:r>
    </w:p>
    <w:p w14:paraId="70920A37" w14:textId="77777777" w:rsidR="00311D9D" w:rsidRPr="006F2247" w:rsidRDefault="00311D9D" w:rsidP="006F2247">
      <w:pPr>
        <w:pStyle w:val="Corpsdetexte"/>
        <w:jc w:val="left"/>
        <w:rPr>
          <w:rFonts w:asciiTheme="minorHAnsi" w:hAnsiTheme="minorHAnsi"/>
          <w:b w:val="0"/>
          <w:u w:val="none"/>
        </w:rPr>
      </w:pPr>
    </w:p>
    <w:p w14:paraId="2D9ED16C" w14:textId="3F88CB92" w:rsidR="00311D9D" w:rsidRPr="006F2247" w:rsidRDefault="00311D9D" w:rsidP="00311D9D">
      <w:pPr>
        <w:pStyle w:val="Corpsdetexte"/>
        <w:jc w:val="both"/>
        <w:rPr>
          <w:rFonts w:asciiTheme="minorHAnsi" w:hAnsiTheme="minorHAnsi"/>
          <w:b w:val="0"/>
          <w:u w:val="none"/>
        </w:rPr>
      </w:pPr>
      <w:r w:rsidRPr="006F2247">
        <w:rPr>
          <w:rFonts w:asciiTheme="minorHAnsi" w:hAnsiTheme="minorHAnsi"/>
          <w:b w:val="0"/>
          <w:u w:val="none"/>
        </w:rPr>
        <w:t xml:space="preserve">Avant </w:t>
      </w:r>
      <w:r w:rsidRPr="00311D9D">
        <w:rPr>
          <w:rFonts w:asciiTheme="minorHAnsi" w:hAnsiTheme="minorHAnsi" w:cstheme="minorHAnsi"/>
          <w:b w:val="0"/>
          <w:bCs w:val="0"/>
          <w:u w:val="none"/>
        </w:rPr>
        <w:t>d’effectuer</w:t>
      </w:r>
      <w:r w:rsidRPr="006F2247">
        <w:rPr>
          <w:rFonts w:asciiTheme="minorHAnsi" w:hAnsiTheme="minorHAnsi"/>
          <w:b w:val="0"/>
          <w:u w:val="none"/>
        </w:rPr>
        <w:t xml:space="preserve"> des travaux de démolition, de modification, de réparation ou de nettoyage sur quoi que ce soit, il faut déterminer si le matériel susceptible d’être manipulé, utilisé, perturbé ou enlevé contient de l’amiante. Au Campus de Moncton, le point rouge indique la présence d’amiante à l’endroit indiqué. Si une flèche rouge accompagne le point, cela veut dire que l’amiante est présent sur toute l’étendue indiquée par la flèche. S’il n’y a pas de point rouge présent, il faut communiquer avec le Service d’entretien et de réparation pour savoir si le matériel contient de l’amiante.</w:t>
      </w:r>
    </w:p>
    <w:p w14:paraId="40D4F660" w14:textId="77777777" w:rsidR="00311D9D" w:rsidRPr="006F2247" w:rsidRDefault="00311D9D" w:rsidP="00311D9D">
      <w:pPr>
        <w:pStyle w:val="Corpsdetexte"/>
        <w:jc w:val="both"/>
        <w:rPr>
          <w:rFonts w:asciiTheme="minorHAnsi" w:hAnsiTheme="minorHAnsi"/>
          <w:b w:val="0"/>
          <w:u w:val="none"/>
        </w:rPr>
      </w:pPr>
    </w:p>
    <w:p w14:paraId="44FC880F" w14:textId="77777777" w:rsidR="00311D9D" w:rsidRPr="006F2247" w:rsidRDefault="00311D9D" w:rsidP="00311D9D">
      <w:pPr>
        <w:pStyle w:val="Corpsdetexte"/>
        <w:jc w:val="both"/>
        <w:rPr>
          <w:rFonts w:asciiTheme="minorHAnsi" w:hAnsiTheme="minorHAnsi"/>
          <w:b w:val="0"/>
          <w:u w:val="none"/>
        </w:rPr>
      </w:pPr>
      <w:r w:rsidRPr="006F2247">
        <w:rPr>
          <w:rFonts w:asciiTheme="minorHAnsi" w:hAnsiTheme="minorHAnsi"/>
          <w:b w:val="0"/>
          <w:u w:val="none"/>
        </w:rPr>
        <w:t>Lorsqu’on ne peut pas identifier ce que contient le matériel, des échantillons doivent être prélevés pour l’identification des fibres selon l’article 3.2 du Code de directives pratiques pour la manipulation de matériaux contenant de l’amiante au Nouveau-Brunswick.</w:t>
      </w:r>
    </w:p>
    <w:p w14:paraId="26FC705B" w14:textId="77777777" w:rsidR="00311D9D" w:rsidRPr="006F2247" w:rsidRDefault="00311D9D" w:rsidP="00311D9D">
      <w:pPr>
        <w:pStyle w:val="Corpsdetexte"/>
        <w:jc w:val="both"/>
        <w:rPr>
          <w:rFonts w:asciiTheme="minorHAnsi" w:hAnsiTheme="minorHAnsi"/>
          <w:b w:val="0"/>
          <w:u w:val="none"/>
        </w:rPr>
      </w:pPr>
    </w:p>
    <w:p w14:paraId="3D6F22C8" w14:textId="77777777" w:rsidR="00311D9D" w:rsidRPr="006F2247" w:rsidRDefault="00311D9D" w:rsidP="00311D9D">
      <w:pPr>
        <w:pStyle w:val="Corpsdetexte"/>
        <w:jc w:val="both"/>
        <w:rPr>
          <w:rFonts w:asciiTheme="minorHAnsi" w:hAnsiTheme="minorHAnsi"/>
          <w:b w:val="0"/>
          <w:u w:val="none"/>
        </w:rPr>
      </w:pPr>
      <w:r w:rsidRPr="006F2247">
        <w:rPr>
          <w:rFonts w:asciiTheme="minorHAnsi" w:hAnsiTheme="minorHAnsi"/>
          <w:b w:val="0"/>
          <w:u w:val="none"/>
        </w:rPr>
        <w:t>Lorsque le matériel contient bel et bien de l’amiante, il faut faire appel aux membres du personnel du Service d’entretien et de réparation ayant reçu la formation nécessaire pour la manipulation de matériel contenant de l’amiante. Ces personnes s’occuperont de réparer ou d’enlever le matériel contenant de l’amiante. Les travaux prévus pourront alors être entrepris en toute sécurité.</w:t>
      </w:r>
    </w:p>
    <w:p w14:paraId="6B9636AF" w14:textId="77777777" w:rsidR="00311D9D" w:rsidRPr="006F2247" w:rsidRDefault="00311D9D" w:rsidP="00311D9D">
      <w:pPr>
        <w:pStyle w:val="Corpsdetexte"/>
        <w:jc w:val="both"/>
        <w:rPr>
          <w:rFonts w:asciiTheme="minorHAnsi" w:hAnsiTheme="minorHAnsi"/>
          <w:b w:val="0"/>
          <w:u w:val="none"/>
        </w:rPr>
      </w:pPr>
    </w:p>
    <w:p w14:paraId="7CBCC438" w14:textId="77777777" w:rsidR="00311D9D" w:rsidRPr="006F2247" w:rsidRDefault="00311D9D" w:rsidP="00311D9D">
      <w:pPr>
        <w:pStyle w:val="Corpsdetexte"/>
        <w:jc w:val="both"/>
        <w:rPr>
          <w:rFonts w:asciiTheme="minorHAnsi" w:hAnsiTheme="minorHAnsi"/>
          <w:b w:val="0"/>
          <w:u w:val="none"/>
        </w:rPr>
      </w:pPr>
      <w:r w:rsidRPr="006F2247">
        <w:rPr>
          <w:rFonts w:asciiTheme="minorHAnsi" w:hAnsiTheme="minorHAnsi"/>
          <w:b w:val="0"/>
          <w:u w:val="none"/>
        </w:rPr>
        <w:t>Si vous remarquez, pendant l’exercice de votre travail, que du matériel identifié comme ayant de l’amiante (point rouge) est endommagé, communiquez immédiatement avec le Service d’entretien et de réparation pour que le nécessaire soit fait.</w:t>
      </w:r>
    </w:p>
    <w:p w14:paraId="736A3F09" w14:textId="4E0136C7" w:rsidR="00311D9D" w:rsidRDefault="00311D9D" w:rsidP="00311D9D">
      <w:pPr>
        <w:rPr>
          <w:rFonts w:asciiTheme="minorHAnsi" w:hAnsiTheme="minorHAnsi" w:cstheme="minorHAnsi"/>
        </w:rPr>
      </w:pPr>
    </w:p>
    <w:p w14:paraId="1F9F4989" w14:textId="3CD4CD0F" w:rsidR="00311D9D" w:rsidRDefault="00311D9D" w:rsidP="00311D9D">
      <w:pPr>
        <w:rPr>
          <w:rFonts w:asciiTheme="minorHAnsi" w:hAnsiTheme="minorHAnsi" w:cstheme="minorHAnsi"/>
        </w:rPr>
      </w:pPr>
    </w:p>
    <w:p w14:paraId="4ACB8C72" w14:textId="7DD7BCA3" w:rsidR="00311D9D" w:rsidRDefault="00311D9D" w:rsidP="00311D9D">
      <w:pPr>
        <w:rPr>
          <w:rFonts w:asciiTheme="minorHAnsi" w:hAnsiTheme="minorHAnsi" w:cstheme="minorHAnsi"/>
        </w:rPr>
      </w:pPr>
    </w:p>
    <w:p w14:paraId="586CC781" w14:textId="602E774E" w:rsidR="00311D9D" w:rsidRDefault="00311D9D" w:rsidP="00311D9D">
      <w:pPr>
        <w:rPr>
          <w:rFonts w:asciiTheme="minorHAnsi" w:hAnsiTheme="minorHAnsi" w:cstheme="minorHAnsi"/>
        </w:rPr>
      </w:pPr>
    </w:p>
    <w:p w14:paraId="71A3C433" w14:textId="32AAC2B4" w:rsidR="00311D9D" w:rsidRDefault="00311D9D" w:rsidP="00311D9D">
      <w:pPr>
        <w:rPr>
          <w:rFonts w:asciiTheme="minorHAnsi" w:hAnsiTheme="minorHAnsi" w:cstheme="minorHAnsi"/>
        </w:rPr>
      </w:pPr>
    </w:p>
    <w:p w14:paraId="5BFC35B3" w14:textId="75A50AB6" w:rsidR="00311D9D" w:rsidRDefault="00311D9D" w:rsidP="00311D9D">
      <w:pPr>
        <w:rPr>
          <w:rFonts w:asciiTheme="minorHAnsi" w:hAnsiTheme="minorHAnsi" w:cstheme="minorHAnsi"/>
        </w:rPr>
      </w:pPr>
    </w:p>
    <w:p w14:paraId="5798DD87" w14:textId="1E777629" w:rsidR="00311D9D" w:rsidRDefault="00311D9D" w:rsidP="00311D9D">
      <w:pPr>
        <w:rPr>
          <w:rFonts w:asciiTheme="minorHAnsi" w:hAnsiTheme="minorHAnsi" w:cstheme="minorHAnsi"/>
        </w:rPr>
      </w:pPr>
    </w:p>
    <w:p w14:paraId="67FCCEDF" w14:textId="689921E4" w:rsidR="00311D9D" w:rsidRDefault="00311D9D" w:rsidP="00311D9D">
      <w:pPr>
        <w:rPr>
          <w:rFonts w:asciiTheme="minorHAnsi" w:hAnsiTheme="minorHAnsi" w:cstheme="minorHAnsi"/>
        </w:rPr>
      </w:pPr>
    </w:p>
    <w:p w14:paraId="0DD884EC" w14:textId="474FAFA3" w:rsidR="00311D9D" w:rsidRPr="006F2247" w:rsidRDefault="00311D9D" w:rsidP="006F2247">
      <w:pPr>
        <w:rPr>
          <w:rFonts w:asciiTheme="minorHAnsi" w:hAnsiTheme="minorHAnsi"/>
          <w:b/>
        </w:rPr>
      </w:pPr>
      <w:r>
        <w:rPr>
          <w:rFonts w:asciiTheme="minorHAnsi" w:hAnsiTheme="minorHAnsi" w:cstheme="minorHAnsi"/>
        </w:rPr>
        <w:t xml:space="preserve">Date de révision : </w:t>
      </w:r>
      <w:r w:rsidR="00332498">
        <w:rPr>
          <w:rFonts w:asciiTheme="minorHAnsi" w:hAnsiTheme="minorHAnsi" w:cstheme="minorHAnsi"/>
        </w:rPr>
        <w:t>27 octobre 2023</w:t>
      </w:r>
    </w:p>
    <w:sectPr w:rsidR="00311D9D" w:rsidRPr="006F2247" w:rsidSect="006F2247">
      <w:headerReference w:type="default" r:id="rId10"/>
      <w:footerReference w:type="default" r:id="rId11"/>
      <w:pgSz w:w="12240" w:h="15840" w:code="1"/>
      <w:pgMar w:top="3119" w:right="1418" w:bottom="1418" w:left="709" w:header="113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A3BF" w14:textId="77777777" w:rsidR="001F34E7" w:rsidRDefault="001F34E7" w:rsidP="00341156">
      <w:r>
        <w:separator/>
      </w:r>
    </w:p>
  </w:endnote>
  <w:endnote w:type="continuationSeparator" w:id="0">
    <w:p w14:paraId="6E51C37F" w14:textId="77777777" w:rsidR="001F34E7" w:rsidRDefault="001F34E7" w:rsidP="00341156">
      <w:r>
        <w:continuationSeparator/>
      </w:r>
    </w:p>
  </w:endnote>
  <w:endnote w:type="continuationNotice" w:id="1">
    <w:p w14:paraId="2C21E04B" w14:textId="77777777" w:rsidR="001F34E7" w:rsidRDefault="001F34E7" w:rsidP="00297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3132"/>
      <w:gridCol w:w="3132"/>
    </w:tblGrid>
    <w:tr w:rsidR="00341156" w14:paraId="25468ECC" w14:textId="77777777" w:rsidTr="00FF3EBE">
      <w:trPr>
        <w:trHeight w:val="432"/>
      </w:trPr>
      <w:tc>
        <w:tcPr>
          <w:tcW w:w="3132" w:type="dxa"/>
        </w:tcPr>
        <w:p w14:paraId="5B4AB51C" w14:textId="2D7261BE" w:rsidR="00FF3EBE" w:rsidRDefault="00FF3EBE" w:rsidP="00C55750">
          <w:pPr>
            <w:pStyle w:val="Pieddepage"/>
            <w:ind w:left="888"/>
            <w:rPr>
              <w:rFonts w:ascii="Arial Narrow" w:hAnsi="Arial Narrow"/>
              <w:color w:val="204C8A"/>
              <w:sz w:val="15"/>
              <w:szCs w:val="15"/>
            </w:rPr>
          </w:pPr>
          <w:r>
            <w:rPr>
              <w:rFonts w:ascii="Arial Narrow" w:hAnsi="Arial Narrow"/>
              <w:color w:val="204C8A"/>
              <w:sz w:val="15"/>
              <w:szCs w:val="15"/>
            </w:rPr>
            <w:t>18, avenue Antonine-Maillet</w:t>
          </w:r>
        </w:p>
        <w:p w14:paraId="5C12E5A9" w14:textId="77777777" w:rsidR="00341156" w:rsidRPr="00341156" w:rsidRDefault="00341156" w:rsidP="00C55750">
          <w:pPr>
            <w:pStyle w:val="Pieddepage"/>
            <w:ind w:left="888"/>
            <w:rPr>
              <w:rFonts w:ascii="Arial Narrow" w:hAnsi="Arial Narrow"/>
              <w:color w:val="204C8A"/>
              <w:sz w:val="15"/>
              <w:szCs w:val="15"/>
            </w:rPr>
          </w:pPr>
          <w:r w:rsidRPr="00341156">
            <w:rPr>
              <w:rFonts w:ascii="Arial Narrow" w:hAnsi="Arial Narrow"/>
              <w:color w:val="204C8A"/>
              <w:sz w:val="15"/>
              <w:szCs w:val="15"/>
            </w:rPr>
            <w:t>Moncton (Nouveau-Brunswick)</w:t>
          </w:r>
        </w:p>
        <w:p w14:paraId="5C017336" w14:textId="77777777" w:rsidR="00341156" w:rsidRPr="00341156" w:rsidRDefault="00341156" w:rsidP="00C55750">
          <w:pPr>
            <w:pStyle w:val="Pieddepage"/>
            <w:ind w:left="888"/>
            <w:rPr>
              <w:rFonts w:ascii="Arial Narrow" w:hAnsi="Arial Narrow"/>
              <w:color w:val="204C8A"/>
              <w:sz w:val="15"/>
              <w:szCs w:val="15"/>
            </w:rPr>
          </w:pPr>
          <w:r w:rsidRPr="00341156">
            <w:rPr>
              <w:rFonts w:ascii="Arial Narrow" w:hAnsi="Arial Narrow"/>
              <w:color w:val="204C8A"/>
              <w:sz w:val="15"/>
              <w:szCs w:val="15"/>
            </w:rPr>
            <w:t>E1A 3E9  CANADA</w:t>
          </w:r>
        </w:p>
      </w:tc>
      <w:tc>
        <w:tcPr>
          <w:tcW w:w="3132" w:type="dxa"/>
        </w:tcPr>
        <w:p w14:paraId="3EADD142" w14:textId="77777777" w:rsidR="00FF3EBE" w:rsidRDefault="00FF3EBE" w:rsidP="00341156">
          <w:pPr>
            <w:pStyle w:val="Pieddepage"/>
            <w:ind w:left="876"/>
            <w:rPr>
              <w:rFonts w:ascii="Arial Narrow" w:hAnsi="Arial Narrow"/>
              <w:color w:val="204C8A"/>
              <w:sz w:val="15"/>
              <w:szCs w:val="15"/>
            </w:rPr>
          </w:pPr>
        </w:p>
        <w:p w14:paraId="2D41A75F" w14:textId="77777777" w:rsidR="00341156" w:rsidRPr="00341156" w:rsidRDefault="00341156" w:rsidP="00341156">
          <w:pPr>
            <w:pStyle w:val="Pieddepage"/>
            <w:ind w:left="876"/>
            <w:rPr>
              <w:rFonts w:ascii="Arial Narrow" w:hAnsi="Arial Narrow"/>
              <w:color w:val="204C8A"/>
              <w:sz w:val="15"/>
              <w:szCs w:val="15"/>
            </w:rPr>
          </w:pPr>
          <w:r w:rsidRPr="00341156">
            <w:rPr>
              <w:rFonts w:ascii="Arial Narrow" w:hAnsi="Arial Narrow"/>
              <w:color w:val="204C8A"/>
              <w:sz w:val="15"/>
              <w:szCs w:val="15"/>
            </w:rPr>
            <w:t>Téléphone : (506) 858-4000</w:t>
          </w:r>
        </w:p>
        <w:p w14:paraId="4ABEAB8C" w14:textId="77777777" w:rsidR="00341156" w:rsidRPr="00341156" w:rsidRDefault="00341156" w:rsidP="00341156">
          <w:pPr>
            <w:pStyle w:val="Pieddepage"/>
            <w:ind w:left="876"/>
            <w:rPr>
              <w:rFonts w:ascii="Arial Narrow" w:hAnsi="Arial Narrow"/>
              <w:color w:val="204C8A"/>
              <w:sz w:val="15"/>
              <w:szCs w:val="15"/>
            </w:rPr>
          </w:pPr>
          <w:r w:rsidRPr="00341156">
            <w:rPr>
              <w:rFonts w:ascii="Arial Narrow" w:hAnsi="Arial Narrow"/>
              <w:color w:val="204C8A"/>
              <w:sz w:val="15"/>
              <w:szCs w:val="15"/>
            </w:rPr>
            <w:t>Télécopieur : (506) 858-4544</w:t>
          </w:r>
        </w:p>
      </w:tc>
      <w:tc>
        <w:tcPr>
          <w:tcW w:w="3132" w:type="dxa"/>
        </w:tcPr>
        <w:p w14:paraId="0FC7F101" w14:textId="77777777" w:rsidR="00FF3EBE" w:rsidRDefault="00FF3EBE" w:rsidP="00341156">
          <w:pPr>
            <w:pStyle w:val="Pieddepage"/>
            <w:ind w:left="876"/>
            <w:rPr>
              <w:rFonts w:ascii="Arial Narrow" w:hAnsi="Arial Narrow"/>
              <w:color w:val="204C8A"/>
              <w:sz w:val="15"/>
              <w:szCs w:val="15"/>
            </w:rPr>
          </w:pPr>
        </w:p>
        <w:p w14:paraId="0475705C" w14:textId="77777777" w:rsidR="00341156" w:rsidRPr="00341156" w:rsidRDefault="00341156" w:rsidP="00341156">
          <w:pPr>
            <w:pStyle w:val="Pieddepage"/>
            <w:ind w:left="876"/>
            <w:rPr>
              <w:rFonts w:ascii="Arial Narrow" w:hAnsi="Arial Narrow"/>
              <w:color w:val="204C8A"/>
              <w:sz w:val="15"/>
              <w:szCs w:val="15"/>
            </w:rPr>
          </w:pPr>
          <w:proofErr w:type="gramStart"/>
          <w:r w:rsidRPr="00341156">
            <w:rPr>
              <w:rFonts w:ascii="Arial Narrow" w:hAnsi="Arial Narrow"/>
              <w:color w:val="204C8A"/>
              <w:sz w:val="15"/>
              <w:szCs w:val="15"/>
            </w:rPr>
            <w:t>courriel</w:t>
          </w:r>
          <w:proofErr w:type="gramEnd"/>
          <w:r w:rsidRPr="00341156">
            <w:rPr>
              <w:rFonts w:ascii="Arial Narrow" w:hAnsi="Arial Narrow"/>
              <w:color w:val="204C8A"/>
              <w:sz w:val="15"/>
              <w:szCs w:val="15"/>
            </w:rPr>
            <w:t xml:space="preserve"> : </w:t>
          </w:r>
          <w:hyperlink r:id="rId1" w:history="1">
            <w:r w:rsidRPr="00341156">
              <w:rPr>
                <w:rStyle w:val="Lienhypertexte"/>
                <w:rFonts w:ascii="Arial Narrow" w:hAnsi="Arial Narrow" w:cstheme="minorHAnsi"/>
                <w:b/>
                <w:color w:val="204C8A"/>
                <w:sz w:val="15"/>
                <w:szCs w:val="15"/>
                <w:u w:val="none"/>
              </w:rPr>
              <w:t>info@umoncton.ca</w:t>
            </w:r>
          </w:hyperlink>
        </w:p>
        <w:p w14:paraId="2864275B" w14:textId="77777777" w:rsidR="00341156" w:rsidRPr="00341156" w:rsidRDefault="00341156" w:rsidP="00341156">
          <w:pPr>
            <w:pStyle w:val="Pieddepage"/>
            <w:ind w:left="876"/>
            <w:rPr>
              <w:rFonts w:ascii="Arial Narrow" w:hAnsi="Arial Narrow"/>
              <w:color w:val="204C8A"/>
              <w:sz w:val="15"/>
              <w:szCs w:val="15"/>
            </w:rPr>
          </w:pPr>
          <w:r w:rsidRPr="00341156">
            <w:rPr>
              <w:rFonts w:ascii="Arial Narrow" w:hAnsi="Arial Narrow"/>
              <w:color w:val="204C8A"/>
              <w:sz w:val="15"/>
              <w:szCs w:val="15"/>
            </w:rPr>
            <w:t>www.umoncton.ca</w:t>
          </w:r>
        </w:p>
      </w:tc>
    </w:tr>
  </w:tbl>
  <w:p w14:paraId="1EE0FF8E" w14:textId="77777777" w:rsidR="000915ED" w:rsidRPr="006F2247" w:rsidRDefault="000915ED" w:rsidP="006F2247">
    <w:pPr>
      <w:pStyle w:val="Pieddepage"/>
    </w:pPr>
    <w:r w:rsidRPr="000915ED">
      <w:tab/>
    </w:r>
    <w:r w:rsidRPr="000915ED">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A7ABB" w14:textId="77777777" w:rsidR="001F34E7" w:rsidRDefault="001F34E7" w:rsidP="00341156">
      <w:r>
        <w:separator/>
      </w:r>
    </w:p>
  </w:footnote>
  <w:footnote w:type="continuationSeparator" w:id="0">
    <w:p w14:paraId="49759315" w14:textId="77777777" w:rsidR="001F34E7" w:rsidRDefault="001F34E7" w:rsidP="00341156">
      <w:r>
        <w:continuationSeparator/>
      </w:r>
    </w:p>
  </w:footnote>
  <w:footnote w:type="continuationNotice" w:id="1">
    <w:p w14:paraId="7563D500" w14:textId="77777777" w:rsidR="001F34E7" w:rsidRDefault="001F34E7" w:rsidP="00297E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C7E6" w14:textId="77777777" w:rsidR="002A798A" w:rsidRDefault="00635160" w:rsidP="00341156">
    <w:pPr>
      <w:pStyle w:val="En-tte"/>
    </w:pPr>
    <w:r>
      <w:rPr>
        <w:noProof/>
        <w:lang w:eastAsia="fr-CA"/>
      </w:rPr>
      <w:drawing>
        <wp:inline distT="0" distB="0" distL="0" distR="0" wp14:anchorId="4FD716DB" wp14:editId="0994BF48">
          <wp:extent cx="2243333" cy="554737"/>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_MONCTON [Convert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3333" cy="554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70395"/>
    <w:multiLevelType w:val="hybridMultilevel"/>
    <w:tmpl w:val="6DC0EF7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D2247A5"/>
    <w:multiLevelType w:val="hybridMultilevel"/>
    <w:tmpl w:val="35B6F49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735F04"/>
    <w:multiLevelType w:val="hybridMultilevel"/>
    <w:tmpl w:val="AE6E2D4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8DA5E2C"/>
    <w:multiLevelType w:val="hybridMultilevel"/>
    <w:tmpl w:val="A978075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40CB6308"/>
    <w:multiLevelType w:val="hybridMultilevel"/>
    <w:tmpl w:val="D696B15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12D6942"/>
    <w:multiLevelType w:val="hybridMultilevel"/>
    <w:tmpl w:val="5E068B24"/>
    <w:lvl w:ilvl="0" w:tplc="DDFC8F34">
      <w:start w:val="1"/>
      <w:numFmt w:val="decimal"/>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325861351">
    <w:abstractNumId w:val="4"/>
  </w:num>
  <w:num w:numId="2" w16cid:durableId="109787216">
    <w:abstractNumId w:val="1"/>
  </w:num>
  <w:num w:numId="3" w16cid:durableId="38474562">
    <w:abstractNumId w:val="3"/>
  </w:num>
  <w:num w:numId="4" w16cid:durableId="1816216612">
    <w:abstractNumId w:val="2"/>
  </w:num>
  <w:num w:numId="5" w16cid:durableId="1810974404">
    <w:abstractNumId w:val="5"/>
  </w:num>
  <w:num w:numId="6" w16cid:durableId="54742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98A"/>
    <w:rsid w:val="0006252A"/>
    <w:rsid w:val="00066D82"/>
    <w:rsid w:val="000915ED"/>
    <w:rsid w:val="000F16F7"/>
    <w:rsid w:val="00160231"/>
    <w:rsid w:val="001E15A3"/>
    <w:rsid w:val="001F34E7"/>
    <w:rsid w:val="00234A81"/>
    <w:rsid w:val="002408E4"/>
    <w:rsid w:val="002939A7"/>
    <w:rsid w:val="00297EC9"/>
    <w:rsid w:val="002A798A"/>
    <w:rsid w:val="00311D9D"/>
    <w:rsid w:val="00332498"/>
    <w:rsid w:val="00341156"/>
    <w:rsid w:val="003868C4"/>
    <w:rsid w:val="00422797"/>
    <w:rsid w:val="0050202E"/>
    <w:rsid w:val="0052483A"/>
    <w:rsid w:val="00596F94"/>
    <w:rsid w:val="00612BC8"/>
    <w:rsid w:val="00635160"/>
    <w:rsid w:val="0063729C"/>
    <w:rsid w:val="006F2247"/>
    <w:rsid w:val="0074584E"/>
    <w:rsid w:val="007629B2"/>
    <w:rsid w:val="007672BB"/>
    <w:rsid w:val="007A240D"/>
    <w:rsid w:val="00975C39"/>
    <w:rsid w:val="00A025A1"/>
    <w:rsid w:val="00AD5E9C"/>
    <w:rsid w:val="00BB699D"/>
    <w:rsid w:val="00C3045C"/>
    <w:rsid w:val="00C55750"/>
    <w:rsid w:val="00CA17B5"/>
    <w:rsid w:val="00CD7E45"/>
    <w:rsid w:val="00D05BA2"/>
    <w:rsid w:val="00D374D3"/>
    <w:rsid w:val="00D92560"/>
    <w:rsid w:val="00DD325F"/>
    <w:rsid w:val="00E659C9"/>
    <w:rsid w:val="00F139ED"/>
    <w:rsid w:val="00F5464F"/>
    <w:rsid w:val="00FE4414"/>
    <w:rsid w:val="00FF3E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608A409"/>
  <w15:chartTrackingRefBased/>
  <w15:docId w15:val="{DD54EB44-4193-4E92-8DE3-68685EE4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C9"/>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297EC9"/>
    <w:pPr>
      <w:tabs>
        <w:tab w:val="center" w:pos="4703"/>
        <w:tab w:val="right" w:pos="9406"/>
      </w:tabs>
      <w:spacing w:after="0" w:line="240" w:lineRule="auto"/>
    </w:pPr>
  </w:style>
  <w:style w:type="character" w:customStyle="1" w:styleId="En-tteCar">
    <w:name w:val="En-tête Car"/>
    <w:basedOn w:val="Policepardfaut"/>
    <w:link w:val="En-tte"/>
    <w:rsid w:val="002A798A"/>
    <w:rPr>
      <w:rFonts w:ascii="Times New Roman" w:hAnsi="Times New Roman" w:cs="Times New Roman"/>
      <w:sz w:val="24"/>
      <w:szCs w:val="24"/>
    </w:rPr>
  </w:style>
  <w:style w:type="paragraph" w:styleId="Pieddepage">
    <w:name w:val="footer"/>
    <w:basedOn w:val="Normal"/>
    <w:link w:val="PieddepageCar"/>
    <w:unhideWhenUsed/>
    <w:rsid w:val="00297EC9"/>
    <w:pPr>
      <w:tabs>
        <w:tab w:val="center" w:pos="4703"/>
        <w:tab w:val="right" w:pos="9406"/>
      </w:tabs>
      <w:spacing w:after="0" w:line="240" w:lineRule="auto"/>
    </w:pPr>
  </w:style>
  <w:style w:type="character" w:customStyle="1" w:styleId="PieddepageCar">
    <w:name w:val="Pied de page Car"/>
    <w:basedOn w:val="Policepardfaut"/>
    <w:link w:val="Pieddepage"/>
    <w:rsid w:val="002A798A"/>
    <w:rPr>
      <w:rFonts w:ascii="Times New Roman" w:hAnsi="Times New Roman" w:cs="Times New Roman"/>
      <w:sz w:val="24"/>
      <w:szCs w:val="24"/>
    </w:rPr>
  </w:style>
  <w:style w:type="paragraph" w:styleId="NormalWeb">
    <w:name w:val="Normal (Web)"/>
    <w:basedOn w:val="Normal"/>
    <w:uiPriority w:val="99"/>
    <w:unhideWhenUsed/>
    <w:rsid w:val="002A798A"/>
    <w:pPr>
      <w:spacing w:before="100" w:beforeAutospacing="1" w:after="100" w:afterAutospacing="1" w:line="240" w:lineRule="auto"/>
    </w:pPr>
    <w:rPr>
      <w:rFonts w:eastAsia="Times New Roman"/>
      <w:lang w:eastAsia="fr-CA"/>
    </w:rPr>
  </w:style>
  <w:style w:type="character" w:styleId="Lienhypertexte">
    <w:name w:val="Hyperlink"/>
    <w:basedOn w:val="Policepardfaut"/>
    <w:uiPriority w:val="99"/>
    <w:unhideWhenUsed/>
    <w:rsid w:val="000915ED"/>
    <w:rPr>
      <w:color w:val="0563C1" w:themeColor="hyperlink"/>
      <w:u w:val="single"/>
    </w:rPr>
  </w:style>
  <w:style w:type="table" w:styleId="Grilledutableau">
    <w:name w:val="Table Grid"/>
    <w:basedOn w:val="TableauNormal"/>
    <w:uiPriority w:val="39"/>
    <w:rsid w:val="0034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411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1156"/>
    <w:rPr>
      <w:rFonts w:ascii="Segoe UI" w:hAnsi="Segoe UI" w:cs="Segoe UI"/>
      <w:sz w:val="18"/>
      <w:szCs w:val="18"/>
    </w:rPr>
  </w:style>
  <w:style w:type="paragraph" w:styleId="Corpsdetexte">
    <w:name w:val="Body Text"/>
    <w:basedOn w:val="Normal"/>
    <w:link w:val="CorpsdetexteCar"/>
    <w:rsid w:val="00297EC9"/>
    <w:pPr>
      <w:spacing w:after="0" w:line="240" w:lineRule="auto"/>
      <w:jc w:val="center"/>
    </w:pPr>
    <w:rPr>
      <w:rFonts w:eastAsia="Times New Roman"/>
      <w:b/>
      <w:bCs/>
      <w:szCs w:val="20"/>
      <w:u w:val="single"/>
      <w:lang w:eastAsia="fr-FR"/>
    </w:rPr>
  </w:style>
  <w:style w:type="character" w:customStyle="1" w:styleId="CorpsdetexteCar">
    <w:name w:val="Corps de texte Car"/>
    <w:basedOn w:val="Policepardfaut"/>
    <w:link w:val="Corpsdetexte"/>
    <w:rsid w:val="00311D9D"/>
    <w:rPr>
      <w:rFonts w:ascii="Times New Roman" w:eastAsia="Times New Roman" w:hAnsi="Times New Roman" w:cs="Times New Roman"/>
      <w:b/>
      <w:bCs/>
      <w:sz w:val="24"/>
      <w:szCs w:val="20"/>
      <w:u w:val="single"/>
      <w:lang w:eastAsia="fr-FR"/>
    </w:rPr>
  </w:style>
  <w:style w:type="paragraph" w:styleId="Rvision">
    <w:name w:val="Revision"/>
    <w:hidden/>
    <w:uiPriority w:val="99"/>
    <w:semiHidden/>
    <w:rsid w:val="00297EC9"/>
    <w:pPr>
      <w:spacing w:after="0" w:line="240" w:lineRule="auto"/>
    </w:pPr>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FE4414"/>
    <w:rPr>
      <w:sz w:val="16"/>
      <w:szCs w:val="16"/>
    </w:rPr>
  </w:style>
  <w:style w:type="paragraph" w:styleId="Commentaire">
    <w:name w:val="annotation text"/>
    <w:basedOn w:val="Normal"/>
    <w:link w:val="CommentaireCar"/>
    <w:uiPriority w:val="99"/>
    <w:unhideWhenUsed/>
    <w:rsid w:val="00FE4414"/>
    <w:pPr>
      <w:spacing w:line="240" w:lineRule="auto"/>
    </w:pPr>
    <w:rPr>
      <w:sz w:val="20"/>
      <w:szCs w:val="20"/>
    </w:rPr>
  </w:style>
  <w:style w:type="character" w:customStyle="1" w:styleId="CommentaireCar">
    <w:name w:val="Commentaire Car"/>
    <w:basedOn w:val="Policepardfaut"/>
    <w:link w:val="Commentaire"/>
    <w:uiPriority w:val="99"/>
    <w:rsid w:val="00FE4414"/>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FE4414"/>
    <w:rPr>
      <w:b/>
      <w:bCs/>
    </w:rPr>
  </w:style>
  <w:style w:type="character" w:customStyle="1" w:styleId="ObjetducommentaireCar">
    <w:name w:val="Objet du commentaire Car"/>
    <w:basedOn w:val="CommentaireCar"/>
    <w:link w:val="Objetducommentaire"/>
    <w:uiPriority w:val="99"/>
    <w:semiHidden/>
    <w:rsid w:val="00FE441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29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info@umonct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E736E7919F264BA73EEC1213B2C67D" ma:contentTypeVersion="14" ma:contentTypeDescription="Crée un document." ma:contentTypeScope="" ma:versionID="ecae8c8176941d6db0191a6f04e686d8">
  <xsd:schema xmlns:xsd="http://www.w3.org/2001/XMLSchema" xmlns:xs="http://www.w3.org/2001/XMLSchema" xmlns:p="http://schemas.microsoft.com/office/2006/metadata/properties" xmlns:ns1="http://schemas.microsoft.com/sharepoint/v3" xmlns:ns2="744551d9-4a79-44e7-bc90-7b3f97f33353" xmlns:ns3="c1c0c7f9-cd57-463a-8290-60c7d71563e1" targetNamespace="http://schemas.microsoft.com/office/2006/metadata/properties" ma:root="true" ma:fieldsID="715ffe4db6890ed96639455d401d3228" ns1:_="" ns2:_="" ns3:_="">
    <xsd:import namespace="http://schemas.microsoft.com/sharepoint/v3"/>
    <xsd:import namespace="744551d9-4a79-44e7-bc90-7b3f97f33353"/>
    <xsd:import namespace="c1c0c7f9-cd57-463a-8290-60c7d71563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étés de la stratégie de conformité unifiée" ma:hidden="true" ma:internalName="_ip_UnifiedCompliancePolicyProperties">
      <xsd:simpleType>
        <xsd:restriction base="dms:Note"/>
      </xsd:simpleType>
    </xsd:element>
    <xsd:element name="_ip_UnifiedCompliancePolicyUIAction" ma:index="17"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551d9-4a79-44e7-bc90-7b3f97f33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0c7f9-cd57-463a-8290-60c7d71563e1"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A9348-2DA1-4C6F-AA8E-372E01E421C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C69DD2B-9148-409A-8E0A-90089156774A}">
  <ds:schemaRefs>
    <ds:schemaRef ds:uri="http://schemas.microsoft.com/sharepoint/v3/contenttype/forms"/>
  </ds:schemaRefs>
</ds:datastoreItem>
</file>

<file path=customXml/itemProps3.xml><?xml version="1.0" encoding="utf-8"?>
<ds:datastoreItem xmlns:ds="http://schemas.openxmlformats.org/officeDocument/2006/customXml" ds:itemID="{1DA2A5DD-A448-452B-AA56-B015BCAD8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4551d9-4a79-44e7-bc90-7b3f97f33353"/>
    <ds:schemaRef ds:uri="c1c0c7f9-cd57-463a-8290-60c7d7156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de Moncton</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Thériault Marquis</dc:creator>
  <cp:keywords/>
  <dc:description/>
  <cp:lastModifiedBy>Lynn Courteau</cp:lastModifiedBy>
  <cp:revision>2</cp:revision>
  <cp:lastPrinted>2018-02-14T15:31:00Z</cp:lastPrinted>
  <dcterms:created xsi:type="dcterms:W3CDTF">2023-10-30T18:14:00Z</dcterms:created>
  <dcterms:modified xsi:type="dcterms:W3CDTF">2023-10-30T18:14:00Z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0x01010059E736E7919F264BA73EEC1213B2C67D</vt:lpwstr>
  </property>
</Properties>
</file>