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8F" w:rsidRPr="0059575A" w:rsidRDefault="0059575A" w:rsidP="00BB3788">
      <w:pPr>
        <w:pStyle w:val="Titre"/>
        <w:rPr>
          <w:sz w:val="28"/>
          <w:szCs w:val="28"/>
        </w:rPr>
      </w:pPr>
      <w:r>
        <w:rPr>
          <w:sz w:val="28"/>
          <w:szCs w:val="28"/>
        </w:rPr>
        <w:t>DÉCLARATION DES ACCIDENTS</w:t>
      </w:r>
    </w:p>
    <w:p w:rsidR="00765B8F" w:rsidRPr="00413269" w:rsidRDefault="00413269" w:rsidP="00413269">
      <w:pPr>
        <w:jc w:val="center"/>
        <w:rPr>
          <w:bCs/>
        </w:rPr>
      </w:pPr>
      <w:r>
        <w:rPr>
          <w:bCs/>
        </w:rPr>
        <w:t>(Mai 2015)</w:t>
      </w:r>
    </w:p>
    <w:p w:rsidR="00AD1EA0" w:rsidRPr="0059575A" w:rsidRDefault="00AD1EA0">
      <w:pPr>
        <w:rPr>
          <w:b/>
          <w:bCs/>
          <w:u w:val="single"/>
        </w:rPr>
      </w:pPr>
    </w:p>
    <w:p w:rsidR="00765B8F" w:rsidRPr="00AD1EA0" w:rsidRDefault="00032D86">
      <w:pPr>
        <w:rPr>
          <w:b/>
          <w:bCs/>
        </w:rPr>
      </w:pPr>
      <w:r w:rsidRPr="00AD1EA0">
        <w:rPr>
          <w:b/>
          <w:bCs/>
        </w:rPr>
        <w:t>Lorsqu’un accident* survient au travail….</w:t>
      </w:r>
    </w:p>
    <w:p w:rsidR="00765B8F" w:rsidRDefault="00765B8F">
      <w:pPr>
        <w:rPr>
          <w:b/>
          <w:bCs/>
        </w:rPr>
      </w:pPr>
    </w:p>
    <w:p w:rsidR="00AD1EA0" w:rsidRPr="00AD1EA0" w:rsidRDefault="00AD1EA0">
      <w:pPr>
        <w:rPr>
          <w:b/>
          <w:bCs/>
        </w:rPr>
      </w:pPr>
    </w:p>
    <w:p w:rsidR="00765B8F" w:rsidRPr="00AD1EA0" w:rsidRDefault="00032D86">
      <w:pPr>
        <w:rPr>
          <w:b/>
          <w:bCs/>
        </w:rPr>
      </w:pPr>
      <w:r w:rsidRPr="00AD1EA0">
        <w:rPr>
          <w:b/>
          <w:bCs/>
        </w:rPr>
        <w:t xml:space="preserve">L’employeur doit : </w:t>
      </w:r>
    </w:p>
    <w:p w:rsidR="00765B8F" w:rsidRPr="00AD1EA0" w:rsidRDefault="00765B8F">
      <w:pPr>
        <w:rPr>
          <w:b/>
          <w:bCs/>
        </w:rPr>
      </w:pPr>
    </w:p>
    <w:p w:rsidR="00765B8F" w:rsidRPr="00AD1EA0" w:rsidRDefault="00032D86">
      <w:pPr>
        <w:numPr>
          <w:ilvl w:val="0"/>
          <w:numId w:val="1"/>
        </w:numPr>
      </w:pPr>
      <w:r w:rsidRPr="00AD1EA0">
        <w:t xml:space="preserve">Aviser </w:t>
      </w:r>
      <w:r w:rsidRPr="00AD1EA0">
        <w:rPr>
          <w:b/>
          <w:bCs/>
        </w:rPr>
        <w:t xml:space="preserve">immédiatement </w:t>
      </w:r>
      <w:r w:rsidRPr="00AD1EA0">
        <w:t xml:space="preserve">le Service de sécurité au </w:t>
      </w:r>
      <w:r w:rsidR="004E7E7E" w:rsidRPr="00AD1EA0">
        <w:rPr>
          <w:b/>
        </w:rPr>
        <w:t>858-</w:t>
      </w:r>
      <w:r w:rsidRPr="00AD1EA0">
        <w:rPr>
          <w:b/>
          <w:bCs/>
        </w:rPr>
        <w:t>4100</w:t>
      </w:r>
      <w:r w:rsidRPr="00AD1EA0">
        <w:t>.</w:t>
      </w:r>
    </w:p>
    <w:p w:rsidR="00992B53" w:rsidRPr="00AD1EA0" w:rsidRDefault="00992B53" w:rsidP="00992B53">
      <w:pPr>
        <w:numPr>
          <w:ilvl w:val="0"/>
          <w:numId w:val="1"/>
        </w:numPr>
        <w:autoSpaceDE w:val="0"/>
        <w:autoSpaceDN w:val="0"/>
        <w:adjustRightInd w:val="0"/>
        <w:rPr>
          <w:rFonts w:ascii="Garamond-BookCondensed" w:hAnsi="Garamond-BookCondensed" w:cs="Garamond-BookCondensed"/>
          <w:color w:val="000000"/>
        </w:rPr>
      </w:pPr>
      <w:r w:rsidRPr="00AD1EA0">
        <w:rPr>
          <w:rFonts w:ascii="Garamond-BookCondensed" w:hAnsi="Garamond-BookCondensed" w:cs="Garamond-BookCondensed"/>
          <w:color w:val="000000"/>
        </w:rPr>
        <w:t>Évaluer la zone en vue de conditions dangereuses afin de protéger les autres salariés ou appeler les services d’urgence ou de sauvetage, au besoin.</w:t>
      </w:r>
    </w:p>
    <w:p w:rsidR="00992B53" w:rsidRPr="00AD1EA0" w:rsidRDefault="00992B53" w:rsidP="00992B53">
      <w:pPr>
        <w:numPr>
          <w:ilvl w:val="0"/>
          <w:numId w:val="1"/>
        </w:numPr>
        <w:autoSpaceDE w:val="0"/>
        <w:autoSpaceDN w:val="0"/>
        <w:adjustRightInd w:val="0"/>
        <w:rPr>
          <w:rFonts w:ascii="Garamond-BookCondensed" w:hAnsi="Garamond-BookCondensed" w:cs="Garamond-BookCondensed"/>
          <w:color w:val="000000"/>
        </w:rPr>
      </w:pPr>
      <w:r w:rsidRPr="00AD1EA0">
        <w:rPr>
          <w:rFonts w:ascii="Garamond-BookCondensed" w:hAnsi="Garamond-BookCondensed" w:cs="Garamond-BookCondensed"/>
          <w:color w:val="000000"/>
        </w:rPr>
        <w:t>Fournir aussitôt les premiers soins ou faire venir les services médicaux sur les lieux.</w:t>
      </w:r>
    </w:p>
    <w:p w:rsidR="00C154A0" w:rsidRPr="00AD1EA0" w:rsidRDefault="00CA5A38" w:rsidP="00C154A0">
      <w:pPr>
        <w:numPr>
          <w:ilvl w:val="0"/>
          <w:numId w:val="1"/>
        </w:numPr>
      </w:pPr>
      <w:r w:rsidRPr="00AD1EA0">
        <w:rPr>
          <w:rFonts w:ascii="Garamond-BookCondensed" w:hAnsi="Garamond-BookCondensed" w:cs="Garamond-BookCondensed"/>
          <w:color w:val="000000"/>
        </w:rPr>
        <w:t>Désigner les personnes compétentes afin d’entreprendre immédia</w:t>
      </w:r>
      <w:r w:rsidR="00C154A0" w:rsidRPr="00AD1EA0">
        <w:rPr>
          <w:rFonts w:ascii="Garamond-BookCondensed" w:hAnsi="Garamond-BookCondensed" w:cs="Garamond-BookCondensed"/>
          <w:color w:val="000000"/>
        </w:rPr>
        <w:t>tement l’enquête sur l’accident et compiler toute documentation relative à celui-ci.</w:t>
      </w:r>
    </w:p>
    <w:p w:rsidR="00435DCD" w:rsidRPr="00AD1EA0" w:rsidRDefault="00435DCD" w:rsidP="00435DCD"/>
    <w:p w:rsidR="00765B8F" w:rsidRPr="00AD1EA0" w:rsidRDefault="00032D86" w:rsidP="00435DCD">
      <w:r w:rsidRPr="00AD1EA0">
        <w:t xml:space="preserve">Le Service de sécurité avisera </w:t>
      </w:r>
      <w:r w:rsidRPr="00AD1EA0">
        <w:rPr>
          <w:b/>
          <w:bCs/>
        </w:rPr>
        <w:t>immédiatement</w:t>
      </w:r>
      <w:r w:rsidR="004E7E7E" w:rsidRPr="00AD1EA0">
        <w:t xml:space="preserve"> Travail Sécuritaire NB au </w:t>
      </w:r>
      <w:r w:rsidR="004E7E7E" w:rsidRPr="00AD1EA0">
        <w:rPr>
          <w:b/>
        </w:rPr>
        <w:t>867-0525</w:t>
      </w:r>
      <w:r w:rsidR="004E7E7E" w:rsidRPr="00AD1EA0">
        <w:t xml:space="preserve"> ou au </w:t>
      </w:r>
      <w:r w:rsidR="004E7E7E" w:rsidRPr="00AD1EA0">
        <w:rPr>
          <w:b/>
          <w:bCs/>
        </w:rPr>
        <w:t>1-800-222-9775</w:t>
      </w:r>
      <w:r w:rsidRPr="00AD1EA0">
        <w:t xml:space="preserve"> </w:t>
      </w:r>
      <w:r w:rsidR="00435DCD" w:rsidRPr="00AD1EA0">
        <w:t xml:space="preserve">pour signaler les accidents suivants : </w:t>
      </w:r>
    </w:p>
    <w:p w:rsidR="00435DCD" w:rsidRPr="00AD1EA0" w:rsidRDefault="00435DCD" w:rsidP="00435DCD"/>
    <w:p w:rsidR="00765B8F" w:rsidRPr="00AD1EA0" w:rsidRDefault="00435DCD" w:rsidP="00435DCD">
      <w:pPr>
        <w:numPr>
          <w:ilvl w:val="0"/>
          <w:numId w:val="1"/>
        </w:numPr>
      </w:pPr>
      <w:r w:rsidRPr="00AD1EA0">
        <w:t xml:space="preserve">Toute </w:t>
      </w:r>
      <w:r w:rsidR="00F71243" w:rsidRPr="00AD1EA0">
        <w:t>explosion</w:t>
      </w:r>
      <w:r w:rsidRPr="00AD1EA0">
        <w:t xml:space="preserve"> accidentelle ou </w:t>
      </w:r>
      <w:r w:rsidR="00F71243" w:rsidRPr="00AD1EA0">
        <w:t>exposition accidentelle à un agent chimique, biologique ou physique,</w:t>
      </w:r>
      <w:r w:rsidRPr="00AD1EA0">
        <w:t xml:space="preserve"> qu’il y ait ou non des blessés. Dans ce cas,</w:t>
      </w:r>
      <w:r w:rsidR="00F71243" w:rsidRPr="00AD1EA0">
        <w:t xml:space="preserve"> a</w:t>
      </w:r>
      <w:r w:rsidR="00032D86" w:rsidRPr="00AD1EA0">
        <w:t xml:space="preserve">viser </w:t>
      </w:r>
      <w:r w:rsidR="00032D86" w:rsidRPr="00AD1EA0">
        <w:rPr>
          <w:b/>
          <w:bCs/>
        </w:rPr>
        <w:t xml:space="preserve">immédiatement </w:t>
      </w:r>
      <w:r w:rsidR="00032D86" w:rsidRPr="00AD1EA0">
        <w:t xml:space="preserve">le Coordonnateur – santé et sécurité au </w:t>
      </w:r>
      <w:r w:rsidR="004E7E7E" w:rsidRPr="00AD1EA0">
        <w:rPr>
          <w:b/>
        </w:rPr>
        <w:t>858-</w:t>
      </w:r>
      <w:r w:rsidR="004E7E7E" w:rsidRPr="00AD1EA0">
        <w:rPr>
          <w:b/>
          <w:bCs/>
        </w:rPr>
        <w:t xml:space="preserve">4546 </w:t>
      </w:r>
      <w:r w:rsidR="004E7E7E" w:rsidRPr="00AD1EA0">
        <w:rPr>
          <w:bCs/>
        </w:rPr>
        <w:t>ou au</w:t>
      </w:r>
      <w:r w:rsidR="00032D86" w:rsidRPr="00AD1EA0">
        <w:rPr>
          <w:b/>
          <w:bCs/>
        </w:rPr>
        <w:t xml:space="preserve"> </w:t>
      </w:r>
      <w:r w:rsidR="004E7E7E" w:rsidRPr="00AD1EA0">
        <w:rPr>
          <w:b/>
          <w:bCs/>
        </w:rPr>
        <w:t>858-</w:t>
      </w:r>
      <w:r w:rsidR="00032D86" w:rsidRPr="00AD1EA0">
        <w:rPr>
          <w:b/>
          <w:bCs/>
        </w:rPr>
        <w:t>4100</w:t>
      </w:r>
      <w:r w:rsidR="00F71243" w:rsidRPr="00AD1EA0">
        <w:rPr>
          <w:b/>
          <w:bCs/>
        </w:rPr>
        <w:t>.</w:t>
      </w:r>
      <w:r w:rsidR="00032D86" w:rsidRPr="00AD1EA0">
        <w:t xml:space="preserve"> </w:t>
      </w:r>
    </w:p>
    <w:p w:rsidR="00775B0D" w:rsidRPr="00AD1EA0" w:rsidRDefault="00435DCD" w:rsidP="00775B0D">
      <w:pPr>
        <w:numPr>
          <w:ilvl w:val="0"/>
          <w:numId w:val="1"/>
        </w:numPr>
      </w:pPr>
      <w:r w:rsidRPr="00AD1EA0">
        <w:t>Toute catastrophe ou défaillance d’équipement catastrophique qui a causé ou aurait pu causer des blessures.</w:t>
      </w:r>
    </w:p>
    <w:p w:rsidR="00435DCD" w:rsidRPr="00AD1EA0" w:rsidRDefault="00775B0D" w:rsidP="00775B0D">
      <w:pPr>
        <w:numPr>
          <w:ilvl w:val="0"/>
          <w:numId w:val="1"/>
        </w:numPr>
      </w:pPr>
      <w:r w:rsidRPr="00AD1EA0">
        <w:t>Salarié hospitalisé dans un établissement hospitalier.</w:t>
      </w:r>
    </w:p>
    <w:p w:rsidR="00775B0D" w:rsidRPr="00AD1EA0" w:rsidRDefault="00775B0D" w:rsidP="00435DCD">
      <w:pPr>
        <w:numPr>
          <w:ilvl w:val="0"/>
          <w:numId w:val="1"/>
        </w:numPr>
      </w:pPr>
      <w:r w:rsidRPr="00AD1EA0">
        <w:t>Perte de connaissance.</w:t>
      </w:r>
    </w:p>
    <w:p w:rsidR="00775B0D" w:rsidRPr="00AD1EA0" w:rsidRDefault="00775B0D" w:rsidP="00775B0D">
      <w:pPr>
        <w:numPr>
          <w:ilvl w:val="0"/>
          <w:numId w:val="1"/>
        </w:numPr>
      </w:pPr>
      <w:r w:rsidRPr="00AD1EA0">
        <w:t>Fracture (autre qu’aux doigts ou aux orteils).</w:t>
      </w:r>
    </w:p>
    <w:p w:rsidR="00775B0D" w:rsidRPr="00AD1EA0" w:rsidRDefault="00775B0D" w:rsidP="00775B0D">
      <w:pPr>
        <w:numPr>
          <w:ilvl w:val="0"/>
          <w:numId w:val="1"/>
        </w:numPr>
      </w:pPr>
      <w:r w:rsidRPr="00AD1EA0">
        <w:t>Brûlure qui nécessite des soins médicaux plus poussés que les premiers soins.</w:t>
      </w:r>
    </w:p>
    <w:p w:rsidR="00775B0D" w:rsidRPr="00AD1EA0" w:rsidRDefault="00775B0D" w:rsidP="00775B0D">
      <w:pPr>
        <w:numPr>
          <w:ilvl w:val="0"/>
          <w:numId w:val="1"/>
        </w:numPr>
      </w:pPr>
      <w:r w:rsidRPr="00AD1EA0">
        <w:t>Perte de vision d’un œil ou des deux yeux.</w:t>
      </w:r>
    </w:p>
    <w:p w:rsidR="00775B0D" w:rsidRPr="00AD1EA0" w:rsidRDefault="00775B0D" w:rsidP="00775B0D">
      <w:pPr>
        <w:numPr>
          <w:ilvl w:val="0"/>
          <w:numId w:val="1"/>
        </w:numPr>
      </w:pPr>
      <w:r w:rsidRPr="00AD1EA0">
        <w:t>Lacération profonde qui exige des soins médicaux au-delà des premiers soins.</w:t>
      </w:r>
    </w:p>
    <w:p w:rsidR="00775B0D" w:rsidRPr="00AD1EA0" w:rsidRDefault="00775B0D" w:rsidP="00775B0D">
      <w:pPr>
        <w:numPr>
          <w:ilvl w:val="0"/>
          <w:numId w:val="1"/>
        </w:numPr>
      </w:pPr>
      <w:r w:rsidRPr="00AD1EA0">
        <w:t>Amputation.</w:t>
      </w:r>
    </w:p>
    <w:p w:rsidR="00775B0D" w:rsidRPr="00AD1EA0" w:rsidRDefault="00775B0D" w:rsidP="00775B0D">
      <w:pPr>
        <w:numPr>
          <w:ilvl w:val="0"/>
          <w:numId w:val="1"/>
        </w:numPr>
      </w:pPr>
      <w:r w:rsidRPr="00AD1EA0">
        <w:t>Décès.</w:t>
      </w:r>
    </w:p>
    <w:p w:rsidR="00765B8F" w:rsidRPr="00AD1EA0" w:rsidRDefault="00775B0D">
      <w:pPr>
        <w:numPr>
          <w:ilvl w:val="0"/>
          <w:numId w:val="1"/>
        </w:numPr>
      </w:pPr>
      <w:r w:rsidRPr="00AD1EA0">
        <w:t>Si le salarié a obtenu des soins médicaux ou s’est absenté du travail, r</w:t>
      </w:r>
      <w:r w:rsidR="00032D86" w:rsidRPr="00AD1EA0">
        <w:t xml:space="preserve">emplir le </w:t>
      </w:r>
      <w:r w:rsidR="00032D86" w:rsidRPr="00AD1EA0">
        <w:rPr>
          <w:i/>
          <w:iCs/>
        </w:rPr>
        <w:t>Formulaire 67</w:t>
      </w:r>
      <w:r w:rsidR="0001525C">
        <w:rPr>
          <w:i/>
          <w:iCs/>
        </w:rPr>
        <w:t xml:space="preserve"> </w:t>
      </w:r>
      <w:r w:rsidR="0001525C" w:rsidRPr="00AD1EA0">
        <w:rPr>
          <w:i/>
          <w:iCs/>
        </w:rPr>
        <w:t>– Rapport sur l’accident ou la maladie professionnelle</w:t>
      </w:r>
      <w:r w:rsidR="00EE3D0D" w:rsidRPr="00AD1EA0">
        <w:t xml:space="preserve"> (Service des ressources humaines</w:t>
      </w:r>
      <w:r w:rsidR="00032D86" w:rsidRPr="00AD1EA0">
        <w:t>)</w:t>
      </w:r>
      <w:r w:rsidRPr="00AD1EA0">
        <w:t xml:space="preserve"> dans les trois jours qui suivent et le faire parvenir à Travail Sécuritaire NB. </w:t>
      </w:r>
      <w:r w:rsidR="00032D86" w:rsidRPr="00AD1EA0">
        <w:t>Le formulaire peut être envoyé par télécopie ou par la poste.</w:t>
      </w:r>
    </w:p>
    <w:p w:rsidR="00AD1EA0" w:rsidRPr="00AD1EA0" w:rsidRDefault="00AD1EA0">
      <w:bookmarkStart w:id="0" w:name="_GoBack"/>
      <w:bookmarkEnd w:id="0"/>
    </w:p>
    <w:p w:rsidR="00765B8F" w:rsidRPr="00AD1EA0" w:rsidRDefault="006E3297">
      <w:pPr>
        <w:rPr>
          <w:b/>
          <w:bCs/>
        </w:rPr>
      </w:pPr>
      <w:r w:rsidRPr="00AD1EA0">
        <w:rPr>
          <w:b/>
          <w:bCs/>
        </w:rPr>
        <w:t>Le salarié</w:t>
      </w:r>
      <w:r w:rsidR="005F5AC3" w:rsidRPr="00AD1EA0">
        <w:rPr>
          <w:b/>
          <w:bCs/>
        </w:rPr>
        <w:t xml:space="preserve"> </w:t>
      </w:r>
      <w:r w:rsidR="00032D86" w:rsidRPr="00AD1EA0">
        <w:rPr>
          <w:b/>
          <w:bCs/>
        </w:rPr>
        <w:t>doit :</w:t>
      </w:r>
    </w:p>
    <w:p w:rsidR="00765B8F" w:rsidRPr="00AD1EA0" w:rsidRDefault="00765B8F">
      <w:pPr>
        <w:rPr>
          <w:b/>
          <w:bCs/>
        </w:rPr>
      </w:pPr>
    </w:p>
    <w:p w:rsidR="00765B8F" w:rsidRPr="00AD1EA0" w:rsidRDefault="00032D86">
      <w:pPr>
        <w:numPr>
          <w:ilvl w:val="0"/>
          <w:numId w:val="1"/>
        </w:numPr>
      </w:pPr>
      <w:r w:rsidRPr="00AD1EA0">
        <w:t>Signaler l’accident à son employeur et au Service de sécurité (</w:t>
      </w:r>
      <w:r w:rsidR="004E7E7E" w:rsidRPr="00AD1EA0">
        <w:rPr>
          <w:b/>
        </w:rPr>
        <w:t>858-</w:t>
      </w:r>
      <w:r w:rsidRPr="00AD1EA0">
        <w:rPr>
          <w:b/>
          <w:bCs/>
        </w:rPr>
        <w:t>4100</w:t>
      </w:r>
      <w:r w:rsidRPr="00AD1EA0">
        <w:t xml:space="preserve">) </w:t>
      </w:r>
      <w:r w:rsidRPr="00AD1EA0">
        <w:rPr>
          <w:b/>
          <w:bCs/>
        </w:rPr>
        <w:t>immédiatement</w:t>
      </w:r>
      <w:r w:rsidR="006E3297" w:rsidRPr="00AD1EA0">
        <w:t xml:space="preserve"> ou avant qu’il quitte le lieu de travail</w:t>
      </w:r>
      <w:r w:rsidRPr="00AD1EA0">
        <w:t>.</w:t>
      </w:r>
    </w:p>
    <w:p w:rsidR="00765B8F" w:rsidRPr="00AD1EA0" w:rsidRDefault="004C0410">
      <w:pPr>
        <w:numPr>
          <w:ilvl w:val="0"/>
          <w:numId w:val="1"/>
        </w:numPr>
      </w:pPr>
      <w:r w:rsidRPr="00AD1EA0">
        <w:t>Si vous avez obtenu des soins médicaux</w:t>
      </w:r>
      <w:r w:rsidR="008B0AD4" w:rsidRPr="00AD1EA0">
        <w:t xml:space="preserve"> ou vous vous êtes absenté du travail en raison d’une blessure, vous pouvez présenter une demande de prestations en utilisant le </w:t>
      </w:r>
      <w:r w:rsidR="008B0AD4" w:rsidRPr="00AD1EA0">
        <w:rPr>
          <w:i/>
          <w:iCs/>
        </w:rPr>
        <w:t>Formulaire 67 – Rapport sur l’accident ou la maladie professionnelle</w:t>
      </w:r>
      <w:r w:rsidR="004E7E7E" w:rsidRPr="00AD1EA0">
        <w:t xml:space="preserve"> (Service des ressources humaines</w:t>
      </w:r>
      <w:r w:rsidR="008B0AD4" w:rsidRPr="00AD1EA0">
        <w:t>).</w:t>
      </w:r>
    </w:p>
    <w:p w:rsidR="00881E3D" w:rsidRPr="00AD1EA0" w:rsidRDefault="00052C08" w:rsidP="00CA5A38">
      <w:pPr>
        <w:numPr>
          <w:ilvl w:val="0"/>
          <w:numId w:val="1"/>
        </w:numPr>
        <w:autoSpaceDE w:val="0"/>
        <w:autoSpaceDN w:val="0"/>
        <w:adjustRightInd w:val="0"/>
        <w:rPr>
          <w:rFonts w:ascii="Garamond-BookCondensed" w:hAnsi="Garamond-BookCondensed" w:cs="Garamond-BookCondensed"/>
          <w:color w:val="000000"/>
        </w:rPr>
      </w:pPr>
      <w:r w:rsidRPr="00AD1EA0">
        <w:rPr>
          <w:rFonts w:ascii="Garamond-BookCondensed" w:hAnsi="Garamond-BookCondensed" w:cs="Garamond-BookCondensed"/>
          <w:color w:val="000000"/>
        </w:rPr>
        <w:t xml:space="preserve">Si un salarié </w:t>
      </w:r>
      <w:r w:rsidR="00881E3D" w:rsidRPr="00AD1EA0">
        <w:rPr>
          <w:rFonts w:ascii="Garamond-BookCondensed" w:hAnsi="Garamond-BookCondensed" w:cs="Garamond-BookCondensed"/>
          <w:color w:val="000000"/>
        </w:rPr>
        <w:t>n’est pas en mesure de signaler une blessure ou un accident, ou si un accident ou une blessure connue n’a pas été signalée, un collègue ou un témoin de l’accident doit signaler ce dernier à son surveillant immédiat (ses renseignements resteront confidentiels).</w:t>
      </w:r>
    </w:p>
    <w:p w:rsidR="00765B8F" w:rsidRPr="00AD1EA0" w:rsidRDefault="00765B8F"/>
    <w:p w:rsidR="00765B8F" w:rsidRPr="00AD1EA0" w:rsidRDefault="00032D86" w:rsidP="00DD0636">
      <w:r w:rsidRPr="00AD1EA0">
        <w:rPr>
          <w:b/>
          <w:bCs/>
        </w:rPr>
        <w:t>*accident </w:t>
      </w:r>
      <w:r w:rsidRPr="00AD1EA0">
        <w:t>: d’une blessure mineure (égratignure, etc…) à une blessure grave (coupure nécessitant des points de sutures, fracture, etc…).</w:t>
      </w:r>
    </w:p>
    <w:p w:rsidR="00AD1EA0" w:rsidRPr="00AD1EA0" w:rsidRDefault="00AD1EA0">
      <w:pPr>
        <w:rPr>
          <w:b/>
          <w:bCs/>
        </w:rPr>
      </w:pPr>
    </w:p>
    <w:p w:rsidR="00765B8F" w:rsidRPr="00AD1EA0" w:rsidRDefault="0019453B" w:rsidP="00A22A37">
      <w:pPr>
        <w:jc w:val="center"/>
        <w:rPr>
          <w:b/>
          <w:bCs/>
        </w:rPr>
      </w:pPr>
      <w:r w:rsidRPr="00AD1EA0">
        <w:rPr>
          <w:b/>
          <w:bCs/>
        </w:rPr>
        <w:t xml:space="preserve">Travail Sécuritaire </w:t>
      </w:r>
      <w:r w:rsidR="00032D86" w:rsidRPr="00AD1EA0">
        <w:rPr>
          <w:b/>
          <w:bCs/>
        </w:rPr>
        <w:t>N.-B.</w:t>
      </w:r>
    </w:p>
    <w:p w:rsidR="0019453B" w:rsidRPr="00AD1EA0" w:rsidRDefault="0019453B" w:rsidP="00DD0636">
      <w:pPr>
        <w:jc w:val="center"/>
        <w:rPr>
          <w:b/>
          <w:bCs/>
        </w:rPr>
      </w:pPr>
      <w:r w:rsidRPr="00AD1EA0">
        <w:rPr>
          <w:b/>
          <w:bCs/>
        </w:rPr>
        <w:t>1 rue Portland</w:t>
      </w:r>
    </w:p>
    <w:p w:rsidR="00765B8F" w:rsidRPr="00AD1EA0" w:rsidRDefault="00032D86" w:rsidP="00DD0636">
      <w:pPr>
        <w:jc w:val="center"/>
        <w:rPr>
          <w:b/>
          <w:bCs/>
        </w:rPr>
      </w:pPr>
      <w:r w:rsidRPr="00AD1EA0">
        <w:rPr>
          <w:b/>
          <w:bCs/>
        </w:rPr>
        <w:t>Case postale 160</w:t>
      </w:r>
    </w:p>
    <w:p w:rsidR="00765B8F" w:rsidRPr="00AD1EA0" w:rsidRDefault="00032D86" w:rsidP="00DD0636">
      <w:pPr>
        <w:jc w:val="center"/>
        <w:rPr>
          <w:b/>
          <w:bCs/>
        </w:rPr>
      </w:pPr>
      <w:r w:rsidRPr="00AD1EA0">
        <w:rPr>
          <w:b/>
          <w:bCs/>
        </w:rPr>
        <w:t>Saint-Jean, N.-B.</w:t>
      </w:r>
    </w:p>
    <w:p w:rsidR="00765B8F" w:rsidRDefault="00032D86" w:rsidP="009C15EA">
      <w:pPr>
        <w:jc w:val="center"/>
        <w:rPr>
          <w:b/>
          <w:bCs/>
        </w:rPr>
      </w:pPr>
      <w:r w:rsidRPr="00AD1EA0">
        <w:rPr>
          <w:b/>
          <w:bCs/>
        </w:rPr>
        <w:t>E2L 3X9</w:t>
      </w:r>
    </w:p>
    <w:p w:rsidR="00F83C5F" w:rsidRPr="00AD1EA0" w:rsidRDefault="00F83C5F" w:rsidP="009C15EA">
      <w:pPr>
        <w:jc w:val="center"/>
        <w:rPr>
          <w:b/>
          <w:bCs/>
        </w:rPr>
      </w:pPr>
    </w:p>
    <w:p w:rsidR="00765B8F" w:rsidRPr="00AD1EA0" w:rsidRDefault="00032D86" w:rsidP="00DD0636">
      <w:pPr>
        <w:jc w:val="center"/>
        <w:rPr>
          <w:b/>
          <w:bCs/>
        </w:rPr>
      </w:pPr>
      <w:r w:rsidRPr="00AD1EA0">
        <w:rPr>
          <w:b/>
          <w:bCs/>
        </w:rPr>
        <w:t>Télécopieur (</w:t>
      </w:r>
      <w:r w:rsidRPr="00AD1EA0">
        <w:rPr>
          <w:b/>
          <w:bCs/>
          <w:i/>
        </w:rPr>
        <w:t>Formulaire 67</w:t>
      </w:r>
      <w:r w:rsidRPr="00AD1EA0">
        <w:rPr>
          <w:b/>
          <w:bCs/>
        </w:rPr>
        <w:t>) : 1-888-629-4722</w:t>
      </w:r>
    </w:p>
    <w:p w:rsidR="00413269" w:rsidRPr="0059575A" w:rsidRDefault="0019453B" w:rsidP="00413269">
      <w:pPr>
        <w:jc w:val="center"/>
        <w:rPr>
          <w:b/>
          <w:lang w:eastAsia="fr-CA"/>
        </w:rPr>
      </w:pPr>
      <w:r w:rsidRPr="00AD1EA0">
        <w:rPr>
          <w:b/>
          <w:lang w:eastAsia="fr-CA"/>
        </w:rPr>
        <w:t xml:space="preserve">Pour imprimer le </w:t>
      </w:r>
      <w:r w:rsidRPr="00AD1EA0">
        <w:rPr>
          <w:b/>
          <w:i/>
          <w:iCs/>
          <w:lang w:eastAsia="fr-CA"/>
        </w:rPr>
        <w:t>Formulaire 67</w:t>
      </w:r>
      <w:r w:rsidRPr="00AD1EA0">
        <w:rPr>
          <w:b/>
          <w:lang w:eastAsia="fr-CA"/>
        </w:rPr>
        <w:t xml:space="preserve"> en format PDF, cliquez </w:t>
      </w:r>
      <w:hyperlink r:id="rId5" w:history="1">
        <w:r w:rsidRPr="00AD1EA0">
          <w:rPr>
            <w:b/>
            <w:color w:val="426FC8"/>
            <w:u w:val="single"/>
            <w:lang w:eastAsia="fr-CA"/>
          </w:rPr>
          <w:t>ici</w:t>
        </w:r>
      </w:hyperlink>
      <w:r w:rsidRPr="00AD1EA0">
        <w:rPr>
          <w:b/>
          <w:lang w:eastAsia="fr-CA"/>
        </w:rPr>
        <w:t>.</w:t>
      </w:r>
      <w:r w:rsidR="00052C08" w:rsidRPr="00AD1EA0">
        <w:rPr>
          <w:b/>
          <w:lang w:eastAsia="fr-CA"/>
        </w:rPr>
        <w:t xml:space="preserve"> Il est aussi disponible à l’adresse </w:t>
      </w:r>
      <w:hyperlink r:id="rId6" w:history="1">
        <w:r w:rsidR="00052C08" w:rsidRPr="00AD1EA0">
          <w:rPr>
            <w:rStyle w:val="Lienhypertexte"/>
            <w:b/>
            <w:lang w:eastAsia="fr-CA"/>
          </w:rPr>
          <w:t>www.travailsecuritairenb.ca</w:t>
        </w:r>
      </w:hyperlink>
      <w:r w:rsidR="00F83C5F">
        <w:rPr>
          <w:b/>
          <w:lang w:eastAsia="fr-CA"/>
        </w:rPr>
        <w:t xml:space="preserve"> sous la rubrique Travailleurs dans Ressources générales sous Formulaires</w:t>
      </w:r>
      <w:r w:rsidR="007048D0" w:rsidRPr="00AD1EA0">
        <w:rPr>
          <w:b/>
          <w:lang w:eastAsia="fr-CA"/>
        </w:rPr>
        <w:t>.</w:t>
      </w:r>
    </w:p>
    <w:sectPr w:rsidR="00413269" w:rsidRPr="0059575A" w:rsidSect="009C15EA">
      <w:pgSz w:w="12240" w:h="20160" w:code="5"/>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ok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1475"/>
    <w:multiLevelType w:val="hybridMultilevel"/>
    <w:tmpl w:val="BE125396"/>
    <w:lvl w:ilvl="0" w:tplc="3D5A3AA8">
      <w:numFmt w:val="bullet"/>
      <w:lvlText w:val="-"/>
      <w:lvlJc w:val="left"/>
      <w:pPr>
        <w:tabs>
          <w:tab w:val="num" w:pos="720"/>
        </w:tabs>
        <w:ind w:left="720" w:hanging="360"/>
      </w:pPr>
      <w:rPr>
        <w:rFonts w:ascii="Times New Roman" w:eastAsia="Times New Roman" w:hAnsi="Times New Roman" w:cs="Times New Roman" w:hint="default"/>
        <w:b/>
      </w:rPr>
    </w:lvl>
    <w:lvl w:ilvl="1" w:tplc="32C66082">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02B"/>
    <w:rsid w:val="0001525C"/>
    <w:rsid w:val="00032D86"/>
    <w:rsid w:val="00052C08"/>
    <w:rsid w:val="0019453B"/>
    <w:rsid w:val="0031702B"/>
    <w:rsid w:val="00413269"/>
    <w:rsid w:val="00435DCD"/>
    <w:rsid w:val="004C0410"/>
    <w:rsid w:val="004E7E7E"/>
    <w:rsid w:val="0059575A"/>
    <w:rsid w:val="005F5AC3"/>
    <w:rsid w:val="006E3297"/>
    <w:rsid w:val="007048D0"/>
    <w:rsid w:val="00765B8F"/>
    <w:rsid w:val="00775B0D"/>
    <w:rsid w:val="00881E3D"/>
    <w:rsid w:val="008B0AD4"/>
    <w:rsid w:val="00992B53"/>
    <w:rsid w:val="009A1A72"/>
    <w:rsid w:val="009C15EA"/>
    <w:rsid w:val="00A22A37"/>
    <w:rsid w:val="00AD1EA0"/>
    <w:rsid w:val="00BB3788"/>
    <w:rsid w:val="00C154A0"/>
    <w:rsid w:val="00CA5A38"/>
    <w:rsid w:val="00CC3343"/>
    <w:rsid w:val="00DD0636"/>
    <w:rsid w:val="00E3013C"/>
    <w:rsid w:val="00EE3D0D"/>
    <w:rsid w:val="00F53649"/>
    <w:rsid w:val="00F71243"/>
    <w:rsid w:val="00F83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24030"/>
  <w15:docId w15:val="{F2EDEE23-4AC7-4F41-877D-25C917C8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u w:val="single"/>
    </w:rPr>
  </w:style>
  <w:style w:type="paragraph" w:styleId="Textedebulles">
    <w:name w:val="Balloon Text"/>
    <w:basedOn w:val="Normal"/>
    <w:link w:val="TextedebullesCar"/>
    <w:uiPriority w:val="99"/>
    <w:semiHidden/>
    <w:unhideWhenUsed/>
    <w:rsid w:val="009C15EA"/>
    <w:rPr>
      <w:rFonts w:ascii="Segoe UI" w:hAnsi="Segoe UI" w:cs="Segoe UI"/>
      <w:sz w:val="18"/>
      <w:szCs w:val="18"/>
    </w:rPr>
  </w:style>
  <w:style w:type="character" w:customStyle="1" w:styleId="TextedebullesCar">
    <w:name w:val="Texte de bulles Car"/>
    <w:link w:val="Textedebulles"/>
    <w:uiPriority w:val="99"/>
    <w:semiHidden/>
    <w:rsid w:val="009C15EA"/>
    <w:rPr>
      <w:rFonts w:ascii="Segoe UI" w:hAnsi="Segoe UI" w:cs="Segoe UI"/>
      <w:sz w:val="18"/>
      <w:szCs w:val="18"/>
      <w:lang w:eastAsia="fr-FR"/>
    </w:rPr>
  </w:style>
  <w:style w:type="character" w:styleId="Lienhypertexte">
    <w:name w:val="Hyperlink"/>
    <w:uiPriority w:val="99"/>
    <w:unhideWhenUsed/>
    <w:rsid w:val="00052C08"/>
    <w:rPr>
      <w:color w:val="0000FF"/>
      <w:u w:val="single"/>
    </w:rPr>
  </w:style>
  <w:style w:type="character" w:styleId="Lienhypertextesuivivisit">
    <w:name w:val="FollowedHyperlink"/>
    <w:uiPriority w:val="99"/>
    <w:semiHidden/>
    <w:unhideWhenUsed/>
    <w:rsid w:val="00052C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ailsecuritairenb.ca" TargetMode="External"/><Relationship Id="rId5" Type="http://schemas.openxmlformats.org/officeDocument/2006/relationships/hyperlink" Target="http://www.travailsecuritairenb.ca/docs/form67.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Déclaration des accidents</vt:lpstr>
    </vt:vector>
  </TitlesOfParts>
  <Company>Université de Moncton</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des accidents</dc:title>
  <dc:subject/>
  <dc:creator>uni</dc:creator>
  <cp:keywords/>
  <dc:description/>
  <cp:lastModifiedBy>André Arseneau</cp:lastModifiedBy>
  <cp:revision>29</cp:revision>
  <cp:lastPrinted>2014-04-04T17:08:00Z</cp:lastPrinted>
  <dcterms:created xsi:type="dcterms:W3CDTF">2008-04-10T12:50:00Z</dcterms:created>
  <dcterms:modified xsi:type="dcterms:W3CDTF">2018-12-18T18:02:00Z</dcterms:modified>
</cp:coreProperties>
</file>