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BBF" w:rsidRDefault="00084BBF">
      <w:pPr>
        <w:spacing w:after="498" w:line="259" w:lineRule="auto"/>
        <w:ind w:left="0" w:firstLine="0"/>
        <w:jc w:val="right"/>
      </w:pPr>
    </w:p>
    <w:p w:rsidR="00084BBF" w:rsidRDefault="00AE5943">
      <w:pPr>
        <w:spacing w:after="36" w:line="259" w:lineRule="auto"/>
        <w:ind w:left="0" w:firstLine="0"/>
        <w:jc w:val="center"/>
      </w:pPr>
      <w:r>
        <w:rPr>
          <w:b/>
          <w:color w:val="365F91"/>
        </w:rPr>
        <w:t>NORMES LINGUISTIQUES DE L'UNIVERSITÉ DE MONCTON</w:t>
      </w:r>
      <w:r>
        <w:rPr>
          <w:b/>
          <w:color w:val="365F91"/>
          <w:vertAlign w:val="superscript"/>
        </w:rPr>
        <w:footnoteReference w:id="1"/>
      </w:r>
      <w:r>
        <w:rPr>
          <w:b/>
          <w:color w:val="365F91"/>
        </w:rPr>
        <w:t xml:space="preserve"> </w:t>
      </w:r>
    </w:p>
    <w:p w:rsidR="00084BBF" w:rsidRDefault="00AE5943">
      <w:pPr>
        <w:spacing w:after="248" w:line="259" w:lineRule="auto"/>
        <w:ind w:left="47" w:right="0" w:firstLine="0"/>
        <w:jc w:val="center"/>
      </w:pPr>
      <w:r>
        <w:t xml:space="preserve"> </w:t>
      </w:r>
    </w:p>
    <w:p w:rsidR="00084BBF" w:rsidRDefault="00AE5943">
      <w:pPr>
        <w:pStyle w:val="Titre1"/>
      </w:pPr>
      <w:r>
        <w:t>BARÈME POUR LA CORRECTION DES TRAVAUX ÉCRITS</w:t>
      </w:r>
      <w:r>
        <w:rPr>
          <w:sz w:val="22"/>
        </w:rPr>
        <w:t xml:space="preserve"> </w:t>
      </w:r>
    </w:p>
    <w:p w:rsidR="00084BBF" w:rsidRDefault="00AE5943">
      <w:pPr>
        <w:ind w:left="355" w:right="0"/>
      </w:pPr>
      <w:r>
        <w:t xml:space="preserve">L’évaluation de la partie linguistique porte sur une tranche de 200, 400, 600 ou 800 mots uniquement pour les </w:t>
      </w:r>
      <w:r>
        <w:rPr>
          <w:b/>
        </w:rPr>
        <w:t>travaux écrits faits à la maison</w:t>
      </w:r>
      <w:r>
        <w:t xml:space="preserve">. </w:t>
      </w:r>
      <w:r>
        <w:t xml:space="preserve">La tranche de mots et le nombre de mots sont laissés à la discrétion de la professeure ou du professeur. </w:t>
      </w:r>
    </w:p>
    <w:p w:rsidR="00084BBF" w:rsidRDefault="00AE5943">
      <w:pPr>
        <w:spacing w:after="19" w:line="259" w:lineRule="auto"/>
        <w:ind w:left="360" w:right="0" w:firstLine="0"/>
      </w:pPr>
      <w:r>
        <w:t xml:space="preserve"> </w:t>
      </w:r>
    </w:p>
    <w:p w:rsidR="00084BBF" w:rsidRDefault="00AE5943">
      <w:pPr>
        <w:spacing w:after="0" w:line="239" w:lineRule="auto"/>
        <w:ind w:left="360" w:right="0" w:firstLine="0"/>
        <w:jc w:val="both"/>
      </w:pPr>
      <w:r>
        <w:t>Le tableau ci-dessous indique le barème à appliquer pour ces travaux écrits. Les unités académiques peuvent adopter des politiques plus exigeantes s</w:t>
      </w:r>
      <w:r>
        <w:t xml:space="preserve">i elles le désirent, pour des raisons de préparation liées à la discipline, afin de moduler la sévérité du barème en fonction des années d’étude. </w:t>
      </w:r>
    </w:p>
    <w:p w:rsidR="00084BBF" w:rsidRDefault="00AE5943">
      <w:pPr>
        <w:spacing w:after="32" w:line="259" w:lineRule="auto"/>
        <w:ind w:left="360" w:right="0" w:firstLine="0"/>
      </w:pPr>
      <w:r>
        <w:t xml:space="preserve"> </w:t>
      </w:r>
    </w:p>
    <w:p w:rsidR="00084BBF" w:rsidRDefault="00AE5943">
      <w:pPr>
        <w:spacing w:after="202"/>
        <w:ind w:left="355" w:right="0"/>
      </w:pPr>
      <w:r>
        <w:t>Par ailleurs, si les erreurs</w:t>
      </w:r>
      <w:r>
        <w:rPr>
          <w:vertAlign w:val="superscript"/>
        </w:rPr>
        <w:footnoteReference w:id="2"/>
      </w:r>
      <w:r>
        <w:t xml:space="preserve"> commises sont trop nombreuses au point de rendre la compréhension du texte di</w:t>
      </w:r>
      <w:r>
        <w:t xml:space="preserve">fficile, en plus de sanctionner le travail selon le barème, la professeure ou le professeur se réserve le droit de demander à l'étudiante ou l’étudiant de corriger les fautes avant d’attribuer une note. Si le nombre d’erreurs demeure plus ou moins le même </w:t>
      </w:r>
      <w:r>
        <w:t>après cette correction, la professeure ou le professeur rencontrera l’étudiante ou l’étudiant afin de discuter de ses difficultés. Lors de cette rencontre, on demandera à l’étudiante ou l’étudiant de consulter le Centre d’aide en français qui l’aidera à ét</w:t>
      </w:r>
      <w:r>
        <w:t xml:space="preserve">ablir un plan d’amélioration dont l’étudiante ou l’étudiant sera entièrement responsable. </w:t>
      </w:r>
    </w:p>
    <w:p w:rsidR="00084BBF" w:rsidRDefault="00AE5943">
      <w:pPr>
        <w:spacing w:after="14" w:line="259" w:lineRule="auto"/>
        <w:ind w:left="427" w:right="0" w:firstLine="0"/>
      </w:pPr>
      <w:r>
        <w:rPr>
          <w:rFonts w:ascii="Cambria" w:eastAsia="Cambria" w:hAnsi="Cambria" w:cs="Cambria"/>
          <w:b/>
          <w:color w:val="4F81BD"/>
        </w:rPr>
        <w:t xml:space="preserve">Barème pour le calcul de la pénalité  </w:t>
      </w:r>
    </w:p>
    <w:p w:rsidR="00084BBF" w:rsidRDefault="00AE5943">
      <w:pPr>
        <w:spacing w:after="0" w:line="259" w:lineRule="auto"/>
        <w:ind w:left="360" w:right="0" w:firstLine="0"/>
      </w:pPr>
      <w:r>
        <w:t xml:space="preserve"> </w:t>
      </w:r>
    </w:p>
    <w:tbl>
      <w:tblPr>
        <w:tblStyle w:val="TableGrid"/>
        <w:tblW w:w="10129" w:type="dxa"/>
        <w:tblInd w:w="274" w:type="dxa"/>
        <w:tblCellMar>
          <w:top w:w="0" w:type="dxa"/>
          <w:left w:w="108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2414"/>
        <w:gridCol w:w="1933"/>
        <w:gridCol w:w="1928"/>
        <w:gridCol w:w="1927"/>
        <w:gridCol w:w="1927"/>
      </w:tblGrid>
      <w:tr w:rsidR="00084BBF">
        <w:trPr>
          <w:trHeight w:val="455"/>
        </w:trPr>
        <w:tc>
          <w:tcPr>
            <w:tcW w:w="2415" w:type="dxa"/>
            <w:tcBorders>
              <w:top w:val="single" w:sz="4" w:space="0" w:color="000000"/>
              <w:left w:val="nil"/>
              <w:bottom w:val="single" w:sz="8" w:space="0" w:color="000000"/>
              <w:right w:val="double" w:sz="12" w:space="0" w:color="000000"/>
            </w:tcBorders>
          </w:tcPr>
          <w:p w:rsidR="00084BBF" w:rsidRDefault="00AE5943">
            <w:pPr>
              <w:spacing w:after="0" w:line="259" w:lineRule="auto"/>
              <w:ind w:left="142" w:right="0" w:firstLine="0"/>
            </w:pPr>
            <w:r>
              <w:rPr>
                <w:b/>
              </w:rPr>
              <w:t xml:space="preserve">Pénalités / nombre de mots dans le travail </w:t>
            </w:r>
          </w:p>
        </w:tc>
        <w:tc>
          <w:tcPr>
            <w:tcW w:w="1933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BBF" w:rsidRDefault="00AE5943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200 mots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BBF" w:rsidRDefault="00AE594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400 mots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BBF" w:rsidRDefault="00AE594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600 mots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BBF" w:rsidRDefault="00AE594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800 mots </w:t>
            </w:r>
          </w:p>
        </w:tc>
      </w:tr>
      <w:tr w:rsidR="00084BBF">
        <w:trPr>
          <w:trHeight w:val="437"/>
        </w:trPr>
        <w:tc>
          <w:tcPr>
            <w:tcW w:w="2415" w:type="dxa"/>
            <w:tcBorders>
              <w:top w:val="single" w:sz="8" w:space="0" w:color="000000"/>
              <w:left w:val="nil"/>
              <w:bottom w:val="nil"/>
              <w:right w:val="double" w:sz="12" w:space="0" w:color="000000"/>
            </w:tcBorders>
            <w:shd w:val="clear" w:color="auto" w:fill="C0C0C0"/>
          </w:tcPr>
          <w:p w:rsidR="00084BBF" w:rsidRDefault="00AE5943">
            <w:pPr>
              <w:spacing w:after="0" w:line="259" w:lineRule="auto"/>
              <w:ind w:left="142" w:right="0" w:firstLine="0"/>
            </w:pPr>
            <w:r>
              <w:t xml:space="preserve">-1/3 lettre </w:t>
            </w:r>
          </w:p>
        </w:tc>
        <w:tc>
          <w:tcPr>
            <w:tcW w:w="1933" w:type="dxa"/>
            <w:tcBorders>
              <w:top w:val="single" w:sz="8" w:space="0" w:color="000000"/>
              <w:left w:val="double" w:sz="12" w:space="0" w:color="000000"/>
              <w:bottom w:val="nil"/>
              <w:right w:val="single" w:sz="4" w:space="0" w:color="000000"/>
            </w:tcBorders>
            <w:shd w:val="clear" w:color="auto" w:fill="C0C0C0"/>
          </w:tcPr>
          <w:p w:rsidR="00084BBF" w:rsidRDefault="00AE5943">
            <w:pPr>
              <w:spacing w:after="0" w:line="259" w:lineRule="auto"/>
              <w:ind w:left="5" w:right="0" w:firstLine="0"/>
            </w:pPr>
            <w:r>
              <w:t xml:space="preserve">à partir de  2 erreurs 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:rsidR="00084BBF" w:rsidRDefault="00AE5943">
            <w:pPr>
              <w:spacing w:after="0" w:line="259" w:lineRule="auto"/>
              <w:ind w:left="0" w:right="0" w:firstLine="0"/>
            </w:pPr>
            <w:r>
              <w:t xml:space="preserve">à partir de 4 erreurs 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:rsidR="00084BBF" w:rsidRDefault="00AE5943">
            <w:pPr>
              <w:spacing w:after="0" w:line="259" w:lineRule="auto"/>
              <w:ind w:left="0" w:right="0" w:firstLine="0"/>
            </w:pPr>
            <w:r>
              <w:t xml:space="preserve">à partir de 6 erreurs 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:rsidR="00084BBF" w:rsidRDefault="00AE5943">
            <w:pPr>
              <w:spacing w:after="0" w:line="259" w:lineRule="auto"/>
              <w:ind w:left="0" w:right="0" w:firstLine="0"/>
            </w:pPr>
            <w:r>
              <w:t xml:space="preserve">à partir de 8  erreurs </w:t>
            </w:r>
          </w:p>
        </w:tc>
      </w:tr>
      <w:tr w:rsidR="00084BBF">
        <w:trPr>
          <w:trHeight w:val="430"/>
        </w:trPr>
        <w:tc>
          <w:tcPr>
            <w:tcW w:w="2415" w:type="dxa"/>
            <w:tcBorders>
              <w:top w:val="nil"/>
              <w:left w:val="nil"/>
              <w:bottom w:val="nil"/>
              <w:right w:val="double" w:sz="12" w:space="0" w:color="000000"/>
            </w:tcBorders>
          </w:tcPr>
          <w:p w:rsidR="00084BBF" w:rsidRDefault="00AE5943">
            <w:pPr>
              <w:spacing w:after="0" w:line="259" w:lineRule="auto"/>
              <w:ind w:left="142" w:right="0" w:firstLine="0"/>
            </w:pPr>
            <w:r>
              <w:t xml:space="preserve">-2/3 lettre </w:t>
            </w:r>
          </w:p>
        </w:tc>
        <w:tc>
          <w:tcPr>
            <w:tcW w:w="1933" w:type="dxa"/>
            <w:tcBorders>
              <w:top w:val="nil"/>
              <w:left w:val="double" w:sz="12" w:space="0" w:color="000000"/>
              <w:bottom w:val="nil"/>
              <w:right w:val="single" w:sz="4" w:space="0" w:color="000000"/>
            </w:tcBorders>
          </w:tcPr>
          <w:p w:rsidR="00084BBF" w:rsidRDefault="00AE5943">
            <w:pPr>
              <w:spacing w:after="0" w:line="259" w:lineRule="auto"/>
              <w:ind w:left="5" w:right="0" w:firstLine="0"/>
            </w:pPr>
            <w:r>
              <w:t xml:space="preserve">à partir de 3 erreurs  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4BBF" w:rsidRDefault="00AE5943">
            <w:pPr>
              <w:spacing w:after="0" w:line="259" w:lineRule="auto"/>
              <w:ind w:left="0" w:right="0" w:firstLine="0"/>
            </w:pPr>
            <w:r>
              <w:t xml:space="preserve">à partir de 6 erreurs 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4BBF" w:rsidRDefault="00AE5943">
            <w:pPr>
              <w:spacing w:after="0" w:line="259" w:lineRule="auto"/>
              <w:ind w:left="0" w:right="0" w:firstLine="0"/>
            </w:pPr>
            <w:r>
              <w:t xml:space="preserve">à partir de 9  erreurs 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4BBF" w:rsidRDefault="00AE5943">
            <w:pPr>
              <w:spacing w:after="0" w:line="259" w:lineRule="auto"/>
              <w:ind w:left="0" w:right="0" w:firstLine="0"/>
            </w:pPr>
            <w:r>
              <w:t xml:space="preserve">à partir de 12  erreurs </w:t>
            </w:r>
          </w:p>
        </w:tc>
      </w:tr>
      <w:tr w:rsidR="00084BBF">
        <w:trPr>
          <w:trHeight w:val="378"/>
        </w:trPr>
        <w:tc>
          <w:tcPr>
            <w:tcW w:w="2415" w:type="dxa"/>
            <w:tcBorders>
              <w:top w:val="nil"/>
              <w:left w:val="nil"/>
              <w:bottom w:val="single" w:sz="24" w:space="0" w:color="000000"/>
              <w:right w:val="double" w:sz="12" w:space="0" w:color="000000"/>
            </w:tcBorders>
            <w:shd w:val="clear" w:color="auto" w:fill="C0C0C0"/>
          </w:tcPr>
          <w:p w:rsidR="00084BBF" w:rsidRDefault="00AE5943">
            <w:pPr>
              <w:spacing w:after="0" w:line="259" w:lineRule="auto"/>
              <w:ind w:left="142" w:right="0" w:firstLine="0"/>
            </w:pPr>
            <w:r>
              <w:t xml:space="preserve">- 1 lettre </w:t>
            </w:r>
          </w:p>
        </w:tc>
        <w:tc>
          <w:tcPr>
            <w:tcW w:w="1933" w:type="dxa"/>
            <w:tcBorders>
              <w:top w:val="nil"/>
              <w:left w:val="doub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C0C0C0"/>
          </w:tcPr>
          <w:p w:rsidR="00084BBF" w:rsidRDefault="00AE5943">
            <w:pPr>
              <w:spacing w:after="0" w:line="259" w:lineRule="auto"/>
              <w:ind w:left="5" w:right="0" w:firstLine="0"/>
            </w:pPr>
            <w:r>
              <w:t xml:space="preserve">4 erreurs et plus 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C0C0C0"/>
          </w:tcPr>
          <w:p w:rsidR="00084BBF" w:rsidRDefault="00AE5943">
            <w:pPr>
              <w:spacing w:after="0" w:line="259" w:lineRule="auto"/>
              <w:ind w:left="0" w:right="0" w:firstLine="0"/>
            </w:pPr>
            <w:r>
              <w:t xml:space="preserve">8 erreurs et plus 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C0C0C0"/>
          </w:tcPr>
          <w:p w:rsidR="00084BBF" w:rsidRDefault="00AE5943">
            <w:pPr>
              <w:spacing w:after="0" w:line="259" w:lineRule="auto"/>
              <w:ind w:left="0" w:right="0" w:firstLine="0"/>
            </w:pPr>
            <w:r>
              <w:t xml:space="preserve">12 erreurs et plus 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C0C0C0"/>
          </w:tcPr>
          <w:p w:rsidR="00084BBF" w:rsidRDefault="00AE5943">
            <w:pPr>
              <w:spacing w:after="0" w:line="259" w:lineRule="auto"/>
              <w:ind w:left="0" w:right="0" w:firstLine="0"/>
            </w:pPr>
            <w:r>
              <w:t xml:space="preserve">16 </w:t>
            </w:r>
            <w:r>
              <w:t xml:space="preserve">erreurs et plus </w:t>
            </w:r>
          </w:p>
        </w:tc>
      </w:tr>
    </w:tbl>
    <w:p w:rsidR="00084BBF" w:rsidRDefault="00AE5943">
      <w:pPr>
        <w:spacing w:after="0" w:line="259" w:lineRule="auto"/>
        <w:ind w:left="0" w:right="0" w:firstLine="0"/>
      </w:pPr>
      <w:r>
        <w:t xml:space="preserve"> </w:t>
      </w:r>
    </w:p>
    <w:sectPr w:rsidR="00084BBF">
      <w:footnotePr>
        <w:numRestart w:val="eachPage"/>
      </w:footnotePr>
      <w:pgSz w:w="12240" w:h="15840"/>
      <w:pgMar w:top="1440" w:right="848" w:bottom="144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E5943">
      <w:pPr>
        <w:spacing w:after="0" w:line="240" w:lineRule="auto"/>
      </w:pPr>
      <w:r>
        <w:separator/>
      </w:r>
    </w:p>
  </w:endnote>
  <w:endnote w:type="continuationSeparator" w:id="0">
    <w:p w:rsidR="00000000" w:rsidRDefault="00AE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BBF" w:rsidRDefault="00AE5943">
      <w:pPr>
        <w:spacing w:after="0" w:line="259" w:lineRule="auto"/>
        <w:ind w:left="0" w:right="0" w:firstLine="0"/>
      </w:pPr>
      <w:r>
        <w:separator/>
      </w:r>
    </w:p>
  </w:footnote>
  <w:footnote w:type="continuationSeparator" w:id="0">
    <w:p w:rsidR="00084BBF" w:rsidRDefault="00AE5943">
      <w:pPr>
        <w:spacing w:after="0" w:line="259" w:lineRule="auto"/>
        <w:ind w:left="0" w:right="0" w:firstLine="0"/>
      </w:pPr>
      <w:r>
        <w:continuationSeparator/>
      </w:r>
    </w:p>
  </w:footnote>
  <w:footnote w:id="1">
    <w:p w:rsidR="00084BBF" w:rsidRDefault="00AE5943">
      <w:pPr>
        <w:pStyle w:val="footnotedescription"/>
      </w:pPr>
      <w:r>
        <w:t xml:space="preserve">  </w:t>
      </w:r>
    </w:p>
  </w:footnote>
  <w:footnote w:id="2">
    <w:p w:rsidR="00084BBF" w:rsidRDefault="00AE5943">
      <w:pPr>
        <w:pStyle w:val="footnotedescription"/>
        <w:spacing w:line="244" w:lineRule="auto"/>
      </w:pPr>
      <w:bookmarkStart w:id="0" w:name="_GoBack"/>
      <w:bookmarkEnd w:id="0"/>
      <w:r>
        <w:t>Erreurs d’orthographe, de ponctuation, d’impropriété (anglicismes), de syntaxe (construction de la phrase) ou grammaticales (accord en genre, nombre, terminaison des verbes).</w:t>
      </w:r>
      <w:r>
        <w:rPr>
          <w:b/>
        </w:rPr>
        <w:t xml:space="preserve"> </w:t>
      </w:r>
      <w:r>
        <w:t>Une erreur d’orthographe d’usage commise plus d’une fois pour le même mot n’est p</w:t>
      </w:r>
      <w:r>
        <w:t xml:space="preserve">énalisée qu’une seule fois. Exemples d’erreurs d’orthographe d’usage : </w:t>
      </w:r>
      <w:proofErr w:type="spellStart"/>
      <w:r>
        <w:t>litéraire</w:t>
      </w:r>
      <w:proofErr w:type="spellEnd"/>
      <w:r>
        <w:t xml:space="preserve">, j’ai </w:t>
      </w:r>
      <w:proofErr w:type="spellStart"/>
      <w:r>
        <w:t>apperçu</w:t>
      </w:r>
      <w:proofErr w:type="spellEnd"/>
      <w:r>
        <w:rPr>
          <w:sz w:val="22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BF"/>
    <w:rsid w:val="00084BBF"/>
    <w:rsid w:val="00AE5943"/>
    <w:rsid w:val="00C3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65C0BA0-11EC-4DBD-9E10-3753712D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75" w:lineRule="auto"/>
      <w:ind w:left="10" w:right="2" w:hanging="10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26"/>
      <w:ind w:right="1"/>
      <w:jc w:val="center"/>
      <w:outlineLvl w:val="0"/>
    </w:pPr>
    <w:rPr>
      <w:rFonts w:ascii="Calibri" w:eastAsia="Calibri" w:hAnsi="Calibri" w:cs="Calibri"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18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UMCE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Thomassin</dc:creator>
  <cp:keywords/>
  <cp:lastModifiedBy>usager</cp:lastModifiedBy>
  <cp:revision>2</cp:revision>
  <dcterms:created xsi:type="dcterms:W3CDTF">2015-10-20T13:18:00Z</dcterms:created>
  <dcterms:modified xsi:type="dcterms:W3CDTF">2015-10-20T13:18:00Z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997635518</vt:i4>
  </property>
</Properties>
</file>