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54B17" w14:textId="1CC48BDB" w:rsidR="00847A4F" w:rsidRDefault="00CB2885" w:rsidP="00890007">
      <w:pPr>
        <w:spacing w:after="0" w:line="240" w:lineRule="auto"/>
        <w:jc w:val="center"/>
        <w:rPr>
          <w:b/>
          <w:sz w:val="28"/>
        </w:rPr>
      </w:pPr>
      <w:r w:rsidRPr="009D3103">
        <w:rPr>
          <w:noProof/>
          <w:lang w:eastAsia="fr-CA"/>
        </w:rPr>
        <w:drawing>
          <wp:inline distT="0" distB="0" distL="0" distR="0" wp14:anchorId="21677DAF" wp14:editId="29E55FD7">
            <wp:extent cx="2549651" cy="753083"/>
            <wp:effectExtent l="0" t="0" r="3175" b="9525"/>
            <wp:docPr id="1" name="Image 1" descr="C:\Users\pef6670\OneDrive - Université de Moncton\SELF\Documents - stages et activités d'AE\H_RE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f6670\OneDrive - Université de Moncton\SELF\Documents - stages et activités d'AE\H_RESE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20" cy="7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0C" w:rsidRPr="0015340C">
        <w:rPr>
          <w:b/>
          <w:noProof/>
          <w:sz w:val="24"/>
          <w:szCs w:val="24"/>
          <w:lang w:eastAsia="fr-CA"/>
        </w:rPr>
        <w:drawing>
          <wp:inline distT="0" distB="0" distL="0" distR="0" wp14:anchorId="3B361CD6" wp14:editId="0CB5BF03">
            <wp:extent cx="1769604" cy="74903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0E60A33-F846-F04E-A185-38AC088586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0E60A33-F846-F04E-A185-38AC088586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4585"/>
                    <a:stretch/>
                  </pic:blipFill>
                  <pic:spPr bwMode="auto">
                    <a:xfrm>
                      <a:off x="0" y="0"/>
                      <a:ext cx="1879838" cy="79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6AB22" w14:textId="65FE109B" w:rsidR="00847A4F" w:rsidRDefault="00847A4F" w:rsidP="00890007">
      <w:pPr>
        <w:spacing w:after="0" w:line="240" w:lineRule="auto"/>
        <w:jc w:val="center"/>
        <w:rPr>
          <w:b/>
          <w:sz w:val="24"/>
          <w:szCs w:val="24"/>
        </w:rPr>
      </w:pPr>
    </w:p>
    <w:p w14:paraId="631FD4C2" w14:textId="77777777" w:rsidR="00847A4F" w:rsidRPr="00847A4F" w:rsidRDefault="00847A4F" w:rsidP="00890007">
      <w:pPr>
        <w:spacing w:after="0" w:line="240" w:lineRule="auto"/>
        <w:jc w:val="center"/>
        <w:rPr>
          <w:b/>
          <w:sz w:val="24"/>
          <w:szCs w:val="24"/>
        </w:rPr>
      </w:pPr>
    </w:p>
    <w:p w14:paraId="1C489707" w14:textId="3D1366EB" w:rsidR="00E575E2" w:rsidRPr="000E0EDF" w:rsidRDefault="000E0EDF" w:rsidP="05356D03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0E0EDF">
        <w:rPr>
          <w:b/>
          <w:bCs/>
          <w:sz w:val="32"/>
          <w:szCs w:val="28"/>
        </w:rPr>
        <w:t>DEMANDE DE FINANCEMENT DE PROJET</w:t>
      </w:r>
    </w:p>
    <w:p w14:paraId="7698CF81" w14:textId="5A284CEA" w:rsidR="00DA7979" w:rsidRPr="00CB2885" w:rsidRDefault="00DA7979" w:rsidP="05356D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68CC">
        <w:rPr>
          <w:b/>
          <w:bCs/>
          <w:sz w:val="28"/>
          <w:szCs w:val="28"/>
        </w:rPr>
        <w:t>Printemps-été 2019</w:t>
      </w:r>
    </w:p>
    <w:p w14:paraId="39F65D55" w14:textId="02BF8B26" w:rsidR="00CE32D9" w:rsidRPr="000E0EDF" w:rsidRDefault="2C69F712" w:rsidP="0027571B">
      <w:pPr>
        <w:spacing w:after="0" w:line="240" w:lineRule="auto"/>
        <w:jc w:val="center"/>
        <w:rPr>
          <w:sz w:val="28"/>
          <w:szCs w:val="24"/>
        </w:rPr>
      </w:pPr>
      <w:r w:rsidRPr="000E0EDF">
        <w:rPr>
          <w:sz w:val="28"/>
          <w:szCs w:val="24"/>
        </w:rPr>
        <w:t xml:space="preserve">Fonds d’apprentissage expérientiel pour </w:t>
      </w:r>
      <w:r w:rsidR="002624AF" w:rsidRPr="000E0EDF">
        <w:rPr>
          <w:sz w:val="28"/>
          <w:szCs w:val="24"/>
        </w:rPr>
        <w:t>personnes étudiantes</w:t>
      </w:r>
    </w:p>
    <w:p w14:paraId="059154C6" w14:textId="543D3AC0" w:rsidR="0027571B" w:rsidRPr="00EE0622" w:rsidRDefault="0027571B" w:rsidP="00152BA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C03C6DE" w14:textId="77777777" w:rsidR="0027571B" w:rsidRPr="00EE0622" w:rsidRDefault="0027571B" w:rsidP="00152BA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CB053AF" w14:textId="1E92ECC0" w:rsidR="00227C11" w:rsidRPr="007A19E0" w:rsidRDefault="05356D03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t>INTENTION</w:t>
      </w:r>
    </w:p>
    <w:p w14:paraId="43876413" w14:textId="77777777" w:rsidR="00227C11" w:rsidRPr="00575088" w:rsidRDefault="00227C11" w:rsidP="00890007">
      <w:pPr>
        <w:spacing w:after="0" w:line="240" w:lineRule="auto"/>
        <w:jc w:val="both"/>
        <w:rPr>
          <w:sz w:val="12"/>
        </w:rPr>
      </w:pPr>
    </w:p>
    <w:p w14:paraId="167491A3" w14:textId="7AA84069" w:rsidR="002347FB" w:rsidRDefault="05356D03" w:rsidP="05356D03">
      <w:pPr>
        <w:spacing w:after="0" w:line="240" w:lineRule="auto"/>
        <w:jc w:val="both"/>
        <w:rPr>
          <w:rFonts w:ascii="Calibri" w:eastAsia="Calibri" w:hAnsi="Calibri" w:cs="Calibri"/>
        </w:rPr>
      </w:pPr>
      <w:r w:rsidRPr="05356D03">
        <w:rPr>
          <w:rFonts w:ascii="Calibri" w:eastAsia="Calibri" w:hAnsi="Calibri" w:cs="Calibri"/>
        </w:rPr>
        <w:t>Le Fonds d’apprentissage expérientiel pour personnes étudiantes fournit du soutien finan</w:t>
      </w:r>
      <w:r w:rsidR="006C2018">
        <w:rPr>
          <w:rFonts w:ascii="Calibri" w:eastAsia="Calibri" w:hAnsi="Calibri" w:cs="Calibri"/>
        </w:rPr>
        <w:t>cier aux personnes étudiantes inscrites dans un programme de</w:t>
      </w:r>
      <w:r w:rsidRPr="05356D03">
        <w:rPr>
          <w:rFonts w:ascii="Calibri" w:eastAsia="Calibri" w:hAnsi="Calibri" w:cs="Calibri"/>
        </w:rPr>
        <w:t xml:space="preserve"> </w:t>
      </w:r>
      <w:r w:rsidRPr="05356D03">
        <w:rPr>
          <w:rFonts w:ascii="Calibri" w:eastAsia="Calibri" w:hAnsi="Calibri" w:cs="Calibri"/>
          <w:b/>
          <w:bCs/>
        </w:rPr>
        <w:t xml:space="preserve">premier </w:t>
      </w:r>
      <w:r w:rsidR="00EC0AD1">
        <w:rPr>
          <w:rFonts w:ascii="Calibri" w:eastAsia="Calibri" w:hAnsi="Calibri" w:cs="Calibri"/>
          <w:b/>
          <w:bCs/>
        </w:rPr>
        <w:t xml:space="preserve">cycle </w:t>
      </w:r>
      <w:r w:rsidR="006C2018" w:rsidRPr="002F2AC9">
        <w:rPr>
          <w:rFonts w:ascii="Calibri" w:eastAsia="Calibri" w:hAnsi="Calibri" w:cs="Calibri"/>
          <w:b/>
          <w:bCs/>
        </w:rPr>
        <w:t>d</w:t>
      </w:r>
      <w:r w:rsidR="002F2AC9" w:rsidRPr="002F2AC9">
        <w:rPr>
          <w:rFonts w:ascii="Calibri" w:eastAsia="Calibri" w:hAnsi="Calibri" w:cs="Calibri"/>
          <w:b/>
          <w:bCs/>
        </w:rPr>
        <w:t>’</w:t>
      </w:r>
      <w:r w:rsidR="006C2018" w:rsidRPr="002F2AC9">
        <w:rPr>
          <w:rFonts w:ascii="Calibri" w:eastAsia="Calibri" w:hAnsi="Calibri" w:cs="Calibri"/>
          <w:b/>
          <w:bCs/>
        </w:rPr>
        <w:t xml:space="preserve">une université </w:t>
      </w:r>
      <w:r w:rsidR="00EC0AD1" w:rsidRPr="002F2AC9">
        <w:rPr>
          <w:rFonts w:ascii="Calibri" w:eastAsia="Calibri" w:hAnsi="Calibri" w:cs="Calibri"/>
          <w:b/>
          <w:bCs/>
        </w:rPr>
        <w:t xml:space="preserve">publique </w:t>
      </w:r>
      <w:r w:rsidR="006C2018" w:rsidRPr="002F2AC9">
        <w:rPr>
          <w:rFonts w:ascii="Calibri" w:eastAsia="Calibri" w:hAnsi="Calibri" w:cs="Calibri"/>
          <w:b/>
          <w:bCs/>
        </w:rPr>
        <w:t>du</w:t>
      </w:r>
      <w:r w:rsidRPr="002F2AC9">
        <w:rPr>
          <w:rFonts w:ascii="Calibri" w:eastAsia="Calibri" w:hAnsi="Calibri" w:cs="Calibri"/>
          <w:b/>
        </w:rPr>
        <w:t xml:space="preserve"> </w:t>
      </w:r>
      <w:r w:rsidRPr="00EC0AD1">
        <w:rPr>
          <w:rFonts w:ascii="Calibri" w:eastAsia="Calibri" w:hAnsi="Calibri" w:cs="Calibri"/>
          <w:b/>
        </w:rPr>
        <w:t>Nouveau-Brunswick</w:t>
      </w:r>
      <w:r w:rsidRPr="05356D03">
        <w:rPr>
          <w:rFonts w:ascii="Calibri" w:eastAsia="Calibri" w:hAnsi="Calibri" w:cs="Calibri"/>
        </w:rPr>
        <w:t xml:space="preserve"> qui veulent accéder à des </w:t>
      </w:r>
      <w:r w:rsidRPr="05356D03">
        <w:rPr>
          <w:rFonts w:ascii="Calibri" w:eastAsia="Calibri" w:hAnsi="Calibri" w:cs="Calibri"/>
          <w:b/>
          <w:bCs/>
        </w:rPr>
        <w:t>opportunités d’apprentissage expérientiel en milieu de travail, hors campus, au Nouveau-Brunswick et dans leur domaine d’études</w:t>
      </w:r>
      <w:r w:rsidRPr="05356D03">
        <w:rPr>
          <w:rFonts w:ascii="Calibri" w:eastAsia="Calibri" w:hAnsi="Calibri" w:cs="Calibri"/>
        </w:rPr>
        <w:t>. Financé par le ministère de l’Éducation postsecondaire, de la Formation et d</w:t>
      </w:r>
      <w:r w:rsidR="00CC54A0">
        <w:rPr>
          <w:rFonts w:ascii="Calibri" w:eastAsia="Calibri" w:hAnsi="Calibri" w:cs="Calibri"/>
        </w:rPr>
        <w:t>u Travail</w:t>
      </w:r>
      <w:r w:rsidRPr="05356D03">
        <w:rPr>
          <w:rFonts w:ascii="Calibri" w:eastAsia="Calibri" w:hAnsi="Calibri" w:cs="Calibri"/>
        </w:rPr>
        <w:t>, il est géré par les quatre unive</w:t>
      </w:r>
      <w:r w:rsidR="0015340C">
        <w:rPr>
          <w:rFonts w:ascii="Calibri" w:eastAsia="Calibri" w:hAnsi="Calibri" w:cs="Calibri"/>
        </w:rPr>
        <w:t xml:space="preserve">rsités publiques de la </w:t>
      </w:r>
      <w:r w:rsidR="0015340C" w:rsidRPr="00EC68CC">
        <w:rPr>
          <w:rFonts w:ascii="Calibri" w:eastAsia="Calibri" w:hAnsi="Calibri" w:cs="Calibri"/>
        </w:rPr>
        <w:t xml:space="preserve">province dans le cadre de </w:t>
      </w:r>
      <w:r w:rsidR="0015340C" w:rsidRPr="00927EFE">
        <w:rPr>
          <w:rFonts w:ascii="Calibri" w:eastAsia="Calibri" w:hAnsi="Calibri" w:cs="Calibri"/>
        </w:rPr>
        <w:t>l’initiative Pr</w:t>
      </w:r>
      <w:r w:rsidR="00B17B52" w:rsidRPr="00927EFE">
        <w:rPr>
          <w:rFonts w:ascii="Calibri" w:eastAsia="Calibri" w:hAnsi="Calibri" w:cs="Calibri"/>
        </w:rPr>
        <w:t>êt p</w:t>
      </w:r>
      <w:r w:rsidR="0015340C" w:rsidRPr="00927EFE">
        <w:rPr>
          <w:rFonts w:ascii="Calibri" w:eastAsia="Calibri" w:hAnsi="Calibri" w:cs="Calibri"/>
        </w:rPr>
        <w:t>our l’</w:t>
      </w:r>
      <w:r w:rsidR="00B17B52" w:rsidRPr="00927EFE">
        <w:rPr>
          <w:rFonts w:ascii="Calibri" w:eastAsia="Calibri" w:hAnsi="Calibri" w:cs="Calibri"/>
        </w:rPr>
        <w:t>a</w:t>
      </w:r>
      <w:r w:rsidR="0015340C" w:rsidRPr="00927EFE">
        <w:rPr>
          <w:rFonts w:ascii="Calibri" w:eastAsia="Calibri" w:hAnsi="Calibri" w:cs="Calibri"/>
        </w:rPr>
        <w:t>venir NB.</w:t>
      </w:r>
    </w:p>
    <w:p w14:paraId="65C6F3FC" w14:textId="1555AE3B" w:rsidR="002347FB" w:rsidRPr="00472B59" w:rsidRDefault="002347FB" w:rsidP="05356D03">
      <w:pPr>
        <w:spacing w:after="0" w:line="240" w:lineRule="auto"/>
        <w:jc w:val="both"/>
      </w:pPr>
    </w:p>
    <w:p w14:paraId="2D6AA7E9" w14:textId="1B53CF06" w:rsidR="002347FB" w:rsidRDefault="2C69F712" w:rsidP="2C69F712">
      <w:pPr>
        <w:spacing w:after="0" w:line="240" w:lineRule="auto"/>
        <w:jc w:val="both"/>
        <w:rPr>
          <w:rFonts w:ascii="Calibri" w:eastAsia="Calibri" w:hAnsi="Calibri" w:cs="Calibri"/>
        </w:rPr>
      </w:pPr>
      <w:r w:rsidRPr="2C69F712">
        <w:rPr>
          <w:rFonts w:ascii="Calibri" w:eastAsia="Calibri" w:hAnsi="Calibri" w:cs="Calibri"/>
        </w:rPr>
        <w:t xml:space="preserve">Le fonds est conçu pour favoriser l’offre d’expériences </w:t>
      </w:r>
      <w:r w:rsidR="00261AA5">
        <w:rPr>
          <w:rFonts w:ascii="Calibri" w:eastAsia="Calibri" w:hAnsi="Calibri" w:cs="Calibri"/>
        </w:rPr>
        <w:t>d’apprentissage expérientiel</w:t>
      </w:r>
      <w:r w:rsidRPr="2C69F712">
        <w:rPr>
          <w:rFonts w:ascii="Calibri" w:eastAsia="Calibri" w:hAnsi="Calibri" w:cs="Calibri"/>
        </w:rPr>
        <w:t xml:space="preserve"> intégré</w:t>
      </w:r>
      <w:r w:rsidR="00261AA5">
        <w:rPr>
          <w:rFonts w:ascii="Calibri" w:eastAsia="Calibri" w:hAnsi="Calibri" w:cs="Calibri"/>
        </w:rPr>
        <w:t>es</w:t>
      </w:r>
      <w:r w:rsidRPr="2C69F712">
        <w:rPr>
          <w:rFonts w:ascii="Calibri" w:eastAsia="Calibri" w:hAnsi="Calibri" w:cs="Calibri"/>
        </w:rPr>
        <w:t xml:space="preserve"> au travail axées sur les intérêts professionnels </w:t>
      </w:r>
      <w:r w:rsidR="006E7E7E">
        <w:rPr>
          <w:rFonts w:ascii="Calibri" w:eastAsia="Calibri" w:hAnsi="Calibri" w:cs="Calibri"/>
        </w:rPr>
        <w:t>des personnes étudiantes</w:t>
      </w:r>
      <w:r w:rsidRPr="2C69F712">
        <w:rPr>
          <w:rFonts w:ascii="Calibri" w:eastAsia="Calibri" w:hAnsi="Calibri" w:cs="Calibri"/>
        </w:rPr>
        <w:t xml:space="preserve"> fréquentant actuellement l’une des quatre universités publiques du Nouveau-Brunswick, soit l’Université de Moncton, </w:t>
      </w:r>
      <w:proofErr w:type="spellStart"/>
      <w:r w:rsidR="00C86B5E">
        <w:rPr>
          <w:rFonts w:ascii="Calibri" w:eastAsia="Calibri" w:hAnsi="Calibri" w:cs="Calibri"/>
        </w:rPr>
        <w:t>University</w:t>
      </w:r>
      <w:proofErr w:type="spellEnd"/>
      <w:r w:rsidR="00C86B5E">
        <w:rPr>
          <w:rFonts w:ascii="Calibri" w:eastAsia="Calibri" w:hAnsi="Calibri" w:cs="Calibri"/>
        </w:rPr>
        <w:t xml:space="preserve"> of New Brunswick</w:t>
      </w:r>
      <w:r w:rsidRPr="2C69F712">
        <w:rPr>
          <w:rFonts w:ascii="Calibri" w:eastAsia="Calibri" w:hAnsi="Calibri" w:cs="Calibri"/>
        </w:rPr>
        <w:t xml:space="preserve">, </w:t>
      </w:r>
      <w:r w:rsidR="00C86B5E">
        <w:rPr>
          <w:rFonts w:ascii="Calibri" w:eastAsia="Calibri" w:hAnsi="Calibri" w:cs="Calibri"/>
        </w:rPr>
        <w:t xml:space="preserve">Mount Allison </w:t>
      </w:r>
      <w:proofErr w:type="spellStart"/>
      <w:r w:rsidR="00C86B5E">
        <w:rPr>
          <w:rFonts w:ascii="Calibri" w:eastAsia="Calibri" w:hAnsi="Calibri" w:cs="Calibri"/>
        </w:rPr>
        <w:t>University</w:t>
      </w:r>
      <w:proofErr w:type="spellEnd"/>
      <w:r w:rsidR="00C86B5E">
        <w:rPr>
          <w:rFonts w:ascii="Calibri" w:eastAsia="Calibri" w:hAnsi="Calibri" w:cs="Calibri"/>
        </w:rPr>
        <w:t xml:space="preserve"> et </w:t>
      </w:r>
      <w:r w:rsidRPr="2C69F712">
        <w:rPr>
          <w:rFonts w:ascii="Calibri" w:eastAsia="Calibri" w:hAnsi="Calibri" w:cs="Calibri"/>
        </w:rPr>
        <w:t>St. Thomas</w:t>
      </w:r>
      <w:r w:rsidR="00C86B5E">
        <w:rPr>
          <w:rFonts w:ascii="Calibri" w:eastAsia="Calibri" w:hAnsi="Calibri" w:cs="Calibri"/>
        </w:rPr>
        <w:t xml:space="preserve"> </w:t>
      </w:r>
      <w:proofErr w:type="spellStart"/>
      <w:r w:rsidR="00C86B5E">
        <w:rPr>
          <w:rFonts w:ascii="Calibri" w:eastAsia="Calibri" w:hAnsi="Calibri" w:cs="Calibri"/>
        </w:rPr>
        <w:t>University</w:t>
      </w:r>
      <w:proofErr w:type="spellEnd"/>
      <w:r w:rsidRPr="2C69F712">
        <w:rPr>
          <w:rFonts w:ascii="Calibri" w:eastAsia="Calibri" w:hAnsi="Calibri" w:cs="Calibri"/>
        </w:rPr>
        <w:t>.</w:t>
      </w:r>
    </w:p>
    <w:p w14:paraId="21AF23BE" w14:textId="0F8F228A" w:rsidR="002347FB" w:rsidRDefault="002347FB" w:rsidP="2C69F71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299432" w14:textId="401FFEAB" w:rsidR="00DA7979" w:rsidRPr="00DA7979" w:rsidRDefault="2C69F712" w:rsidP="00DA7979">
      <w:pPr>
        <w:spacing w:after="0" w:line="240" w:lineRule="auto"/>
        <w:jc w:val="both"/>
        <w:rPr>
          <w:rFonts w:ascii="Calibri" w:eastAsia="Calibri" w:hAnsi="Calibri" w:cs="Calibri"/>
        </w:rPr>
      </w:pPr>
      <w:r w:rsidRPr="2C69F712">
        <w:rPr>
          <w:rFonts w:ascii="Calibri" w:eastAsia="Calibri" w:hAnsi="Calibri" w:cs="Calibri"/>
        </w:rPr>
        <w:t xml:space="preserve">Il vise à renforcer les effectifs du Nouveau-Brunswick en enrichissant l’apprentissage des </w:t>
      </w:r>
      <w:r w:rsidR="006E7E7E">
        <w:rPr>
          <w:rFonts w:ascii="Calibri" w:eastAsia="Calibri" w:hAnsi="Calibri" w:cs="Calibri"/>
        </w:rPr>
        <w:t xml:space="preserve">personnes </w:t>
      </w:r>
      <w:proofErr w:type="gramStart"/>
      <w:r w:rsidR="006E7E7E">
        <w:rPr>
          <w:rFonts w:ascii="Calibri" w:eastAsia="Calibri" w:hAnsi="Calibri" w:cs="Calibri"/>
        </w:rPr>
        <w:t>étudiantes</w:t>
      </w:r>
      <w:proofErr w:type="gramEnd"/>
      <w:r w:rsidR="006E7E7E">
        <w:rPr>
          <w:rFonts w:ascii="Calibri" w:eastAsia="Calibri" w:hAnsi="Calibri" w:cs="Calibri"/>
        </w:rPr>
        <w:t xml:space="preserve"> </w:t>
      </w:r>
      <w:r w:rsidRPr="2C69F712">
        <w:rPr>
          <w:rFonts w:ascii="Calibri" w:eastAsia="Calibri" w:hAnsi="Calibri" w:cs="Calibri"/>
        </w:rPr>
        <w:t xml:space="preserve">par des expériences </w:t>
      </w:r>
      <w:r w:rsidR="00261AA5">
        <w:rPr>
          <w:rFonts w:ascii="Calibri" w:eastAsia="Calibri" w:hAnsi="Calibri" w:cs="Calibri"/>
        </w:rPr>
        <w:t xml:space="preserve">d’apprentissage expérientiel </w:t>
      </w:r>
      <w:r w:rsidRPr="2C69F712">
        <w:rPr>
          <w:rFonts w:ascii="Calibri" w:eastAsia="Calibri" w:hAnsi="Calibri" w:cs="Calibri"/>
        </w:rPr>
        <w:t xml:space="preserve">intégrées au travail qui amélioreront les compétences de ces derniers </w:t>
      </w:r>
      <w:r w:rsidRPr="00A105FE">
        <w:rPr>
          <w:rFonts w:ascii="Calibri" w:eastAsia="Calibri" w:hAnsi="Calibri" w:cs="Calibri"/>
        </w:rPr>
        <w:t>et</w:t>
      </w:r>
      <w:r w:rsidR="001057DC" w:rsidRPr="00A105FE">
        <w:rPr>
          <w:rFonts w:ascii="Calibri" w:eastAsia="Calibri" w:hAnsi="Calibri" w:cs="Calibri"/>
        </w:rPr>
        <w:t xml:space="preserve"> qui</w:t>
      </w:r>
      <w:r w:rsidRPr="00A105FE">
        <w:rPr>
          <w:rFonts w:ascii="Calibri" w:eastAsia="Calibri" w:hAnsi="Calibri" w:cs="Calibri"/>
        </w:rPr>
        <w:t xml:space="preserve"> leur</w:t>
      </w:r>
      <w:r w:rsidRPr="2C69F712">
        <w:rPr>
          <w:rFonts w:ascii="Calibri" w:eastAsia="Calibri" w:hAnsi="Calibri" w:cs="Calibri"/>
        </w:rPr>
        <w:t xml:space="preserve"> permettront d’établir des relations qui les aideront à obtenir un emploi, tout en répondant aux besoins du marché du travail de la province.</w:t>
      </w:r>
    </w:p>
    <w:p w14:paraId="5B953507" w14:textId="5A745B13" w:rsidR="00DE5087" w:rsidRDefault="00DE5087" w:rsidP="05356D0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CD6CB7C" w14:textId="77777777" w:rsidR="0027571B" w:rsidRDefault="0027571B" w:rsidP="05356D0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8D9DE57" w14:textId="3572857B" w:rsidR="2C69F712" w:rsidRPr="007A19E0" w:rsidRDefault="62988D35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t>ADMISSIBILITÉ</w:t>
      </w:r>
    </w:p>
    <w:p w14:paraId="193E6600" w14:textId="1443F1C6" w:rsidR="2C69F712" w:rsidRPr="00EF2181" w:rsidRDefault="2C69F712" w:rsidP="62988D35">
      <w:pPr>
        <w:spacing w:after="0" w:line="240" w:lineRule="auto"/>
        <w:jc w:val="both"/>
        <w:rPr>
          <w:sz w:val="12"/>
          <w:szCs w:val="12"/>
          <w:highlight w:val="yellow"/>
        </w:rPr>
      </w:pPr>
    </w:p>
    <w:p w14:paraId="0D9EF0FB" w14:textId="0B192DE1" w:rsidR="00EF2181" w:rsidRDefault="00261AA5" w:rsidP="00577C6F">
      <w:pPr>
        <w:spacing w:after="0" w:line="240" w:lineRule="auto"/>
        <w:jc w:val="both"/>
      </w:pPr>
      <w:r>
        <w:t>L’</w:t>
      </w:r>
      <w:r w:rsidRPr="000020B1">
        <w:rPr>
          <w:b/>
        </w:rPr>
        <w:t>activité d’apprentissage expérientiel en milieu de travail</w:t>
      </w:r>
      <w:r>
        <w:t xml:space="preserve"> doit :</w:t>
      </w:r>
    </w:p>
    <w:p w14:paraId="71268955" w14:textId="77777777" w:rsidR="002561F1" w:rsidRPr="008A0936" w:rsidRDefault="00261AA5" w:rsidP="00577C6F">
      <w:pPr>
        <w:pStyle w:val="Default"/>
        <w:numPr>
          <w:ilvl w:val="0"/>
          <w:numId w:val="6"/>
        </w:numPr>
        <w:jc w:val="both"/>
        <w:rPr>
          <w:color w:val="auto"/>
          <w:lang w:val="fr-CA"/>
        </w:rPr>
      </w:pPr>
      <w:proofErr w:type="gramStart"/>
      <w:r w:rsidRPr="008A0936">
        <w:rPr>
          <w:rFonts w:asciiTheme="minorHAnsi" w:hAnsiTheme="minorHAnsi" w:cstheme="minorHAnsi"/>
          <w:color w:val="auto"/>
          <w:sz w:val="22"/>
          <w:szCs w:val="22"/>
          <w:lang w:val="fr-CA"/>
        </w:rPr>
        <w:t>améliorer</w:t>
      </w:r>
      <w:proofErr w:type="gramEnd"/>
      <w:r w:rsidRPr="008A0936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l’expérience éducative de la personne étudiante;</w:t>
      </w:r>
    </w:p>
    <w:p w14:paraId="3BB1B2C8" w14:textId="5762FAB1" w:rsidR="00261AA5" w:rsidRPr="00EC68CC" w:rsidRDefault="002561F1" w:rsidP="00577C6F">
      <w:pPr>
        <w:pStyle w:val="Default"/>
        <w:numPr>
          <w:ilvl w:val="0"/>
          <w:numId w:val="6"/>
        </w:numPr>
        <w:jc w:val="both"/>
        <w:rPr>
          <w:color w:val="auto"/>
          <w:lang w:val="fr-CA"/>
        </w:rPr>
      </w:pPr>
      <w:proofErr w:type="gramStart"/>
      <w:r w:rsidRPr="008A0936">
        <w:rPr>
          <w:rFonts w:asciiTheme="minorHAnsi" w:hAnsiTheme="minorHAnsi" w:cstheme="minorHAnsi"/>
          <w:color w:val="auto"/>
          <w:sz w:val="22"/>
          <w:szCs w:val="22"/>
          <w:lang w:val="fr-CA"/>
        </w:rPr>
        <w:t>être</w:t>
      </w:r>
      <w:proofErr w:type="gramEnd"/>
      <w:r w:rsidRPr="008A0936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directement liée à un </w:t>
      </w:r>
      <w:r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cours ou indirectement liée à un programme d’études; </w:t>
      </w:r>
      <w:r w:rsidR="00261AA5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</w:t>
      </w:r>
    </w:p>
    <w:p w14:paraId="2B246844" w14:textId="64C952A2" w:rsidR="00261AA5" w:rsidRPr="00EC68CC" w:rsidRDefault="00261AA5" w:rsidP="00577C6F">
      <w:pPr>
        <w:pStyle w:val="Default"/>
        <w:numPr>
          <w:ilvl w:val="0"/>
          <w:numId w:val="6"/>
        </w:numPr>
        <w:jc w:val="both"/>
        <w:rPr>
          <w:color w:val="auto"/>
          <w:lang w:val="fr-CA"/>
        </w:rPr>
      </w:pPr>
      <w:proofErr w:type="gramStart"/>
      <w:r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se</w:t>
      </w:r>
      <w:proofErr w:type="gramEnd"/>
      <w:r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dérouler à l’extérieur du campus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</w:t>
      </w:r>
      <w:r w:rsidR="00A55ADD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(l</w:t>
      </w:r>
      <w:r w:rsidR="00AE761A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’e</w:t>
      </w:r>
      <w:r w:rsidR="007C67B0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ntreprise</w:t>
      </w:r>
      <w:r w:rsidR="00AE761A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ou l’organisme </w:t>
      </w:r>
      <w:r w:rsidR="00232B54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partenaire 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ne doit pas être </w:t>
      </w:r>
      <w:r w:rsidR="00AE761A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géré et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finan</w:t>
      </w:r>
      <w:r w:rsidR="00232B54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cé par l’Université de Moncton</w:t>
      </w:r>
      <w:r w:rsidR="00A55ADD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; i</w:t>
      </w:r>
      <w:r w:rsidR="00232B54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l 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peut </w:t>
      </w:r>
      <w:r w:rsidR="00232B54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cependant 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être physiquement </w:t>
      </w:r>
      <w:r w:rsidR="0018506A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situé 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sur le campus</w:t>
      </w:r>
      <w:r w:rsidR="0018506A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s’il y a lieu</w:t>
      </w:r>
      <w:r w:rsidR="0019007C"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)</w:t>
      </w:r>
      <w:r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;</w:t>
      </w:r>
    </w:p>
    <w:p w14:paraId="76801B2C" w14:textId="674CF9CB" w:rsidR="00BB6CBF" w:rsidRPr="00104BE6" w:rsidRDefault="00261AA5" w:rsidP="00BB6CBF">
      <w:pPr>
        <w:pStyle w:val="Default"/>
        <w:numPr>
          <w:ilvl w:val="0"/>
          <w:numId w:val="6"/>
        </w:numPr>
        <w:jc w:val="both"/>
        <w:rPr>
          <w:color w:val="auto"/>
          <w:lang w:val="fr-CA"/>
        </w:rPr>
      </w:pPr>
      <w:proofErr w:type="gramStart"/>
      <w:r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>être</w:t>
      </w:r>
      <w:proofErr w:type="gramEnd"/>
      <w:r w:rsidRPr="00EC68C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offerte au </w:t>
      </w:r>
      <w:r w:rsidRPr="00104BE6">
        <w:rPr>
          <w:rFonts w:asciiTheme="minorHAnsi" w:hAnsiTheme="minorHAnsi" w:cstheme="minorHAnsi"/>
          <w:color w:val="auto"/>
          <w:sz w:val="22"/>
          <w:szCs w:val="22"/>
          <w:lang w:val="fr-CA"/>
        </w:rPr>
        <w:t>Nouveau-Brunswick;</w:t>
      </w:r>
    </w:p>
    <w:p w14:paraId="34E1611C" w14:textId="77777777" w:rsidR="00261AA5" w:rsidRPr="00104BE6" w:rsidRDefault="00261AA5" w:rsidP="00577C6F">
      <w:pPr>
        <w:pStyle w:val="Default"/>
        <w:numPr>
          <w:ilvl w:val="0"/>
          <w:numId w:val="6"/>
        </w:numPr>
        <w:jc w:val="both"/>
        <w:rPr>
          <w:color w:val="auto"/>
          <w:lang w:val="fr-CA"/>
        </w:rPr>
      </w:pPr>
      <w:proofErr w:type="gramStart"/>
      <w:r w:rsidRPr="00104BE6">
        <w:rPr>
          <w:rFonts w:asciiTheme="minorHAnsi" w:hAnsiTheme="minorHAnsi" w:cstheme="minorHAnsi"/>
          <w:color w:val="auto"/>
          <w:sz w:val="22"/>
          <w:szCs w:val="22"/>
          <w:lang w:val="fr-CA"/>
        </w:rPr>
        <w:t>être</w:t>
      </w:r>
      <w:proofErr w:type="gramEnd"/>
      <w:r w:rsidRPr="00104BE6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approuvée et validée à l’avance par l’université; </w:t>
      </w:r>
    </w:p>
    <w:p w14:paraId="4831A8BC" w14:textId="7A0BE43A" w:rsidR="000020B1" w:rsidRPr="00104BE6" w:rsidRDefault="00261AA5" w:rsidP="00577C6F">
      <w:pPr>
        <w:pStyle w:val="Default"/>
        <w:numPr>
          <w:ilvl w:val="0"/>
          <w:numId w:val="6"/>
        </w:numPr>
        <w:jc w:val="both"/>
        <w:rPr>
          <w:color w:val="auto"/>
          <w:lang w:val="fr-CA"/>
        </w:rPr>
      </w:pPr>
      <w:proofErr w:type="gramStart"/>
      <w:r w:rsidRPr="00104BE6">
        <w:rPr>
          <w:rFonts w:asciiTheme="minorHAnsi" w:hAnsiTheme="minorHAnsi" w:cstheme="minorHAnsi"/>
          <w:color w:val="auto"/>
          <w:sz w:val="22"/>
          <w:szCs w:val="22"/>
          <w:lang w:val="fr-CA"/>
        </w:rPr>
        <w:t>être</w:t>
      </w:r>
      <w:proofErr w:type="gramEnd"/>
      <w:r w:rsidRPr="00104BE6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surveillée par l’université;</w:t>
      </w:r>
    </w:p>
    <w:p w14:paraId="40F1E5C1" w14:textId="67E21FF0" w:rsidR="00261AA5" w:rsidRPr="00104BE6" w:rsidRDefault="05356D03" w:rsidP="05356D0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proofErr w:type="gramStart"/>
      <w:r w:rsidRPr="00104BE6">
        <w:rPr>
          <w:rFonts w:asciiTheme="minorHAnsi" w:hAnsiTheme="minorHAnsi" w:cstheme="minorBidi"/>
          <w:color w:val="auto"/>
          <w:sz w:val="22"/>
          <w:szCs w:val="22"/>
          <w:lang w:val="fr-CA"/>
        </w:rPr>
        <w:t>offrir</w:t>
      </w:r>
      <w:proofErr w:type="gramEnd"/>
      <w:r w:rsidRPr="00104BE6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une forme de rémunération (une rémunération financière, un crédit universitaire, un certificat, un relevé de notes o</w:t>
      </w:r>
      <w:r w:rsidR="00A72FA5" w:rsidRPr="00104BE6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u une reconnaissance </w:t>
      </w:r>
      <w:r w:rsidR="00A72FA5" w:rsidRPr="00927EFE">
        <w:rPr>
          <w:rFonts w:asciiTheme="minorHAnsi" w:hAnsiTheme="minorHAnsi" w:cstheme="minorBidi"/>
          <w:color w:val="auto"/>
          <w:sz w:val="22"/>
          <w:szCs w:val="22"/>
          <w:lang w:val="fr-CA"/>
        </w:rPr>
        <w:t>semblable</w:t>
      </w:r>
      <w:r w:rsidR="00F538FF" w:rsidRPr="00927EFE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; </w:t>
      </w:r>
      <w:r w:rsidR="00EC68CC" w:rsidRPr="00927EFE">
        <w:rPr>
          <w:rFonts w:asciiTheme="minorHAnsi" w:hAnsiTheme="minorHAnsi" w:cstheme="minorBidi"/>
          <w:color w:val="auto"/>
          <w:sz w:val="22"/>
          <w:szCs w:val="22"/>
          <w:lang w:val="fr-CA"/>
        </w:rPr>
        <w:t>à noter qu’</w:t>
      </w:r>
      <w:r w:rsidR="00F538FF" w:rsidRPr="00927EFE">
        <w:rPr>
          <w:rFonts w:asciiTheme="minorHAnsi" w:hAnsiTheme="minorHAnsi" w:cstheme="minorBidi"/>
          <w:color w:val="auto"/>
          <w:sz w:val="22"/>
          <w:szCs w:val="22"/>
          <w:lang w:val="fr-CA"/>
        </w:rPr>
        <w:t>une</w:t>
      </w:r>
      <w:r w:rsidR="00F538FF" w:rsidRPr="00104BE6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activité menant à un crédit universitaire ne recevra pas de subvention salariale</w:t>
      </w:r>
      <w:r w:rsidR="00A72FA5" w:rsidRPr="00104BE6">
        <w:rPr>
          <w:rFonts w:asciiTheme="minorHAnsi" w:hAnsiTheme="minorHAnsi" w:cstheme="minorBidi"/>
          <w:color w:val="auto"/>
          <w:sz w:val="22"/>
          <w:szCs w:val="22"/>
          <w:lang w:val="fr-CA"/>
        </w:rPr>
        <w:t>);</w:t>
      </w:r>
    </w:p>
    <w:p w14:paraId="6A98F58D" w14:textId="6B4BE068" w:rsidR="009329F3" w:rsidRPr="00EC68CC" w:rsidRDefault="002561F1" w:rsidP="00577C6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proofErr w:type="gramStart"/>
      <w:r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lastRenderedPageBreak/>
        <w:t>ê</w:t>
      </w:r>
      <w:r w:rsidR="00D9178A"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>tre</w:t>
      </w:r>
      <w:proofErr w:type="gramEnd"/>
      <w:r w:rsidR="00D9178A"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d’une </w:t>
      </w:r>
      <w:r w:rsidR="00D9178A" w:rsidRPr="00500683">
        <w:rPr>
          <w:rFonts w:asciiTheme="minorHAnsi" w:hAnsiTheme="minorHAnsi" w:cstheme="minorBidi"/>
          <w:b/>
          <w:color w:val="auto"/>
          <w:sz w:val="22"/>
          <w:szCs w:val="22"/>
          <w:lang w:val="fr-CA"/>
        </w:rPr>
        <w:t>durée minimale</w:t>
      </w:r>
      <w:r w:rsidR="00D9178A"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d’une </w:t>
      </w:r>
      <w:r w:rsidRPr="00694982">
        <w:rPr>
          <w:rFonts w:asciiTheme="minorHAnsi" w:hAnsiTheme="minorHAnsi" w:cstheme="minorBidi"/>
          <w:b/>
          <w:color w:val="auto"/>
          <w:sz w:val="22"/>
          <w:szCs w:val="22"/>
          <w:lang w:val="fr-CA"/>
        </w:rPr>
        <w:t>demi-journée</w:t>
      </w:r>
      <w:r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et d’une </w:t>
      </w:r>
      <w:r w:rsidRPr="00500683">
        <w:rPr>
          <w:rFonts w:asciiTheme="minorHAnsi" w:hAnsiTheme="minorHAnsi" w:cstheme="minorBidi"/>
          <w:b/>
          <w:color w:val="auto"/>
          <w:sz w:val="22"/>
          <w:szCs w:val="22"/>
          <w:lang w:val="fr-CA"/>
        </w:rPr>
        <w:t>durée maximale</w:t>
      </w:r>
      <w:r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de </w:t>
      </w:r>
      <w:r w:rsidRPr="00694982">
        <w:rPr>
          <w:rFonts w:asciiTheme="minorHAnsi" w:hAnsiTheme="minorHAnsi" w:cstheme="minorBidi"/>
          <w:b/>
          <w:color w:val="auto"/>
          <w:sz w:val="22"/>
          <w:szCs w:val="22"/>
          <w:lang w:val="fr-CA"/>
        </w:rPr>
        <w:t>560 heures</w:t>
      </w:r>
      <w:r w:rsidRPr="00500683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7B707E">
        <w:rPr>
          <w:rFonts w:asciiTheme="minorHAnsi" w:hAnsiTheme="minorHAnsi" w:cstheme="minorBidi"/>
          <w:color w:val="auto"/>
          <w:sz w:val="22"/>
          <w:szCs w:val="22"/>
          <w:lang w:val="fr-CA"/>
        </w:rPr>
        <w:t>(</w:t>
      </w:r>
      <w:r w:rsidR="006E6C76"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>l’</w:t>
      </w:r>
      <w:r w:rsidR="006A2F7C"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>équivalent d’</w:t>
      </w:r>
      <w:r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une session </w:t>
      </w:r>
      <w:r w:rsidR="00304555"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d’études </w:t>
      </w:r>
      <w:r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>à te</w:t>
      </w:r>
      <w:r w:rsidR="00A461E9"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>mps plein à 35 heures/semaine);</w:t>
      </w:r>
    </w:p>
    <w:p w14:paraId="4B4EDBEB" w14:textId="5066A769" w:rsidR="002C0B25" w:rsidRPr="00EC68CC" w:rsidRDefault="00A461E9" w:rsidP="00577C6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proofErr w:type="gramStart"/>
      <w:r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>avoir</w:t>
      </w:r>
      <w:proofErr w:type="gramEnd"/>
      <w:r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lieu pendant la session universitaire printemps-été 2019 (soit entre le 6</w:t>
      </w:r>
      <w:r w:rsidR="0073525E"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mai </w:t>
      </w:r>
      <w:r w:rsidR="002C0B25"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et </w:t>
      </w:r>
      <w:r w:rsidRPr="00EC68CC">
        <w:rPr>
          <w:rFonts w:asciiTheme="minorHAnsi" w:hAnsiTheme="minorHAnsi" w:cstheme="minorBidi"/>
          <w:color w:val="auto"/>
          <w:sz w:val="22"/>
          <w:szCs w:val="22"/>
          <w:lang w:val="fr-CA"/>
        </w:rPr>
        <w:t>le 31 août 2019);</w:t>
      </w:r>
    </w:p>
    <w:p w14:paraId="4CA6BF5E" w14:textId="77777777" w:rsidR="00196391" w:rsidRPr="00EC68CC" w:rsidRDefault="00196391" w:rsidP="00577C6F">
      <w:pPr>
        <w:spacing w:after="0" w:line="240" w:lineRule="auto"/>
        <w:jc w:val="both"/>
      </w:pPr>
    </w:p>
    <w:p w14:paraId="5B236EEB" w14:textId="552A23A8" w:rsidR="62988D35" w:rsidRDefault="002B7C11" w:rsidP="00577C6F">
      <w:pPr>
        <w:spacing w:after="0" w:line="240" w:lineRule="auto"/>
        <w:jc w:val="both"/>
      </w:pPr>
      <w:r w:rsidRPr="00EC68CC">
        <w:t xml:space="preserve">Les </w:t>
      </w:r>
      <w:r w:rsidRPr="00EC68CC">
        <w:rPr>
          <w:b/>
        </w:rPr>
        <w:t>personnes étudiantes</w:t>
      </w:r>
      <w:r>
        <w:t xml:space="preserve"> doivent :</w:t>
      </w:r>
    </w:p>
    <w:p w14:paraId="462F7ACE" w14:textId="2807D975" w:rsidR="002B7C11" w:rsidRPr="00A24A77" w:rsidRDefault="002B7C11" w:rsidP="00577C6F">
      <w:pPr>
        <w:pStyle w:val="Sansinterligne"/>
        <w:numPr>
          <w:ilvl w:val="0"/>
          <w:numId w:val="7"/>
        </w:numPr>
        <w:jc w:val="both"/>
        <w:rPr>
          <w:lang w:val="fr-CA"/>
        </w:rPr>
      </w:pPr>
      <w:r w:rsidRPr="00B16F31">
        <w:rPr>
          <w:rFonts w:cstheme="minorHAnsi"/>
          <w:lang w:val="fr-CA"/>
        </w:rPr>
        <w:t>être inscrit</w:t>
      </w:r>
      <w:r w:rsidR="00004DB6">
        <w:rPr>
          <w:rFonts w:cstheme="minorHAnsi"/>
          <w:lang w:val="fr-CA"/>
        </w:rPr>
        <w:t>e</w:t>
      </w:r>
      <w:r w:rsidRPr="00B16F31">
        <w:rPr>
          <w:rFonts w:cstheme="minorHAnsi"/>
          <w:lang w:val="fr-CA"/>
        </w:rPr>
        <w:t>s</w:t>
      </w:r>
      <w:r w:rsidR="00A5555C">
        <w:rPr>
          <w:rFonts w:cstheme="minorHAnsi"/>
          <w:lang w:val="fr-CA"/>
        </w:rPr>
        <w:t xml:space="preserve"> à temps plein</w:t>
      </w:r>
      <w:r w:rsidR="00A24A77" w:rsidRPr="00B16F31">
        <w:rPr>
          <w:rStyle w:val="Appelnotedebasdep"/>
          <w:rFonts w:cstheme="minorHAnsi"/>
        </w:rPr>
        <w:footnoteReference w:id="1"/>
      </w:r>
      <w:r w:rsidRPr="00B16F31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 xml:space="preserve">comme personne </w:t>
      </w:r>
      <w:r w:rsidRPr="003B62EE">
        <w:rPr>
          <w:rFonts w:cstheme="minorHAnsi"/>
          <w:lang w:val="fr-CA"/>
        </w:rPr>
        <w:t xml:space="preserve">étudiante </w:t>
      </w:r>
      <w:r w:rsidR="00D041EB" w:rsidRPr="00D9178A">
        <w:rPr>
          <w:rFonts w:cstheme="minorHAnsi"/>
          <w:lang w:val="fr-CA"/>
        </w:rPr>
        <w:t>au</w:t>
      </w:r>
      <w:r w:rsidR="00A24A77" w:rsidRPr="00D9178A">
        <w:rPr>
          <w:rFonts w:cstheme="minorHAnsi"/>
          <w:lang w:val="fr-CA"/>
        </w:rPr>
        <w:t xml:space="preserve"> premier cycle</w:t>
      </w:r>
      <w:r w:rsidR="00202CB3" w:rsidRPr="00B16F31">
        <w:rPr>
          <w:rStyle w:val="Appelnotedebasdep"/>
          <w:rFonts w:cstheme="minorHAnsi"/>
        </w:rPr>
        <w:footnoteReference w:id="2"/>
      </w:r>
      <w:r w:rsidR="00A24A77" w:rsidRPr="003B62EE">
        <w:rPr>
          <w:rFonts w:cstheme="minorHAnsi"/>
          <w:lang w:val="fr-CA"/>
        </w:rPr>
        <w:t xml:space="preserve"> </w:t>
      </w:r>
      <w:r w:rsidRPr="003B62EE">
        <w:rPr>
          <w:rFonts w:cstheme="minorHAnsi"/>
          <w:lang w:val="fr-CA"/>
        </w:rPr>
        <w:t>à</w:t>
      </w:r>
      <w:r>
        <w:rPr>
          <w:rFonts w:cstheme="minorHAnsi"/>
          <w:lang w:val="fr-CA"/>
        </w:rPr>
        <w:t xml:space="preserve"> l’Université de Moncton</w:t>
      </w:r>
      <w:r w:rsidRPr="00B16F31">
        <w:rPr>
          <w:rFonts w:cstheme="minorHAnsi"/>
          <w:lang w:val="fr-CA"/>
        </w:rPr>
        <w:t>;</w:t>
      </w:r>
    </w:p>
    <w:p w14:paraId="23CE7640" w14:textId="42CE7DD6" w:rsidR="002B7C11" w:rsidRPr="00004DB6" w:rsidRDefault="05356D03" w:rsidP="05356D03">
      <w:pPr>
        <w:pStyle w:val="Sansinterligne"/>
        <w:numPr>
          <w:ilvl w:val="0"/>
          <w:numId w:val="7"/>
        </w:numPr>
        <w:jc w:val="both"/>
        <w:rPr>
          <w:lang w:val="fr-CA"/>
        </w:rPr>
      </w:pPr>
      <w:proofErr w:type="gramStart"/>
      <w:r w:rsidRPr="05356D03">
        <w:rPr>
          <w:lang w:val="fr-CA"/>
        </w:rPr>
        <w:t>avoir</w:t>
      </w:r>
      <w:proofErr w:type="gramEnd"/>
      <w:r w:rsidRPr="05356D03">
        <w:rPr>
          <w:lang w:val="fr-CA"/>
        </w:rPr>
        <w:t xml:space="preserve"> la qualité de personne étudiante au début et pendant toute la durée de l’expérience; </w:t>
      </w:r>
    </w:p>
    <w:p w14:paraId="429B2A13" w14:textId="77777777" w:rsidR="002B7C11" w:rsidRPr="00B16F31" w:rsidRDefault="002B7C11" w:rsidP="00577C6F">
      <w:pPr>
        <w:pStyle w:val="Sansinterligne"/>
        <w:numPr>
          <w:ilvl w:val="0"/>
          <w:numId w:val="7"/>
        </w:numPr>
        <w:jc w:val="both"/>
        <w:rPr>
          <w:lang w:val="fr-CA"/>
        </w:rPr>
      </w:pPr>
      <w:proofErr w:type="gramStart"/>
      <w:r w:rsidRPr="00B16F31">
        <w:rPr>
          <w:rFonts w:cstheme="minorHAnsi"/>
          <w:lang w:val="fr-CA"/>
        </w:rPr>
        <w:t>au</w:t>
      </w:r>
      <w:proofErr w:type="gramEnd"/>
      <w:r w:rsidRPr="00B16F31">
        <w:rPr>
          <w:rFonts w:cstheme="minorHAnsi"/>
          <w:lang w:val="fr-CA"/>
        </w:rPr>
        <w:t xml:space="preserve"> besoin, participer à des réunions, des sondages, des groupes de discussion et des consultations et soumettre des commentaires sur leur expérience. </w:t>
      </w:r>
    </w:p>
    <w:p w14:paraId="06A792DD" w14:textId="2DF8590D" w:rsidR="002B7C11" w:rsidRDefault="002B7C11" w:rsidP="00577C6F">
      <w:pPr>
        <w:spacing w:after="0" w:line="240" w:lineRule="auto"/>
        <w:jc w:val="both"/>
      </w:pPr>
    </w:p>
    <w:p w14:paraId="3B75863E" w14:textId="600D175E" w:rsidR="00004DB6" w:rsidRPr="00004DB6" w:rsidRDefault="05356D03" w:rsidP="05356D03">
      <w:pPr>
        <w:spacing w:after="0" w:line="240" w:lineRule="auto"/>
        <w:jc w:val="both"/>
        <w:rPr>
          <w:highlight w:val="yellow"/>
        </w:rPr>
      </w:pPr>
      <w:r>
        <w:t xml:space="preserve">Les </w:t>
      </w:r>
      <w:r w:rsidRPr="05356D03">
        <w:rPr>
          <w:b/>
          <w:bCs/>
        </w:rPr>
        <w:t>partenaires sur le marché du travail</w:t>
      </w:r>
      <w:r>
        <w:t xml:space="preserve"> doivent :</w:t>
      </w:r>
    </w:p>
    <w:p w14:paraId="086DDE42" w14:textId="360FC653" w:rsidR="00F118A8" w:rsidRPr="00EC68CC" w:rsidRDefault="00F118A8" w:rsidP="00F118A8">
      <w:pPr>
        <w:pStyle w:val="Paragraphedeliste"/>
        <w:numPr>
          <w:ilvl w:val="0"/>
          <w:numId w:val="7"/>
        </w:numPr>
        <w:rPr>
          <w:rFonts w:cstheme="minorHAnsi"/>
        </w:rPr>
      </w:pPr>
      <w:proofErr w:type="gramStart"/>
      <w:r w:rsidRPr="00EC68CC">
        <w:rPr>
          <w:rFonts w:cstheme="minorHAnsi"/>
        </w:rPr>
        <w:t>être</w:t>
      </w:r>
      <w:proofErr w:type="gramEnd"/>
      <w:r w:rsidRPr="00EC68CC">
        <w:rPr>
          <w:rFonts w:cstheme="minorHAnsi"/>
        </w:rPr>
        <w:t xml:space="preserve"> une entreprise ou un organisme </w:t>
      </w:r>
      <w:r w:rsidR="009F13BC" w:rsidRPr="00EC68CC">
        <w:rPr>
          <w:rFonts w:cstheme="minorHAnsi"/>
        </w:rPr>
        <w:t>reconnu et exploité</w:t>
      </w:r>
      <w:r w:rsidRPr="00EC68CC">
        <w:rPr>
          <w:rFonts w:cstheme="minorHAnsi"/>
        </w:rPr>
        <w:t xml:space="preserve"> au Nouveau-Brunswick;  </w:t>
      </w:r>
    </w:p>
    <w:p w14:paraId="003A0078" w14:textId="599713DF" w:rsidR="00F118A8" w:rsidRPr="00EC68CC" w:rsidRDefault="00004DB6" w:rsidP="00F118A8">
      <w:pPr>
        <w:pStyle w:val="Paragraphedeliste"/>
        <w:numPr>
          <w:ilvl w:val="0"/>
          <w:numId w:val="7"/>
        </w:numPr>
        <w:rPr>
          <w:rFonts w:cstheme="minorHAnsi"/>
        </w:rPr>
      </w:pPr>
      <w:r w:rsidRPr="00EC68CC">
        <w:rPr>
          <w:rFonts w:cstheme="minorHAnsi"/>
        </w:rPr>
        <w:t>offrir une nouvelle possibilité</w:t>
      </w:r>
      <w:r w:rsidRPr="00EC68CC">
        <w:rPr>
          <w:rStyle w:val="Appelnotedebasdep"/>
          <w:rFonts w:cstheme="minorHAnsi"/>
        </w:rPr>
        <w:footnoteReference w:id="3"/>
      </w:r>
      <w:r w:rsidRPr="00EC68CC">
        <w:rPr>
          <w:rFonts w:cstheme="minorHAnsi"/>
        </w:rPr>
        <w:t>;</w:t>
      </w:r>
    </w:p>
    <w:p w14:paraId="13E236CB" w14:textId="4C68655E" w:rsidR="00C0633E" w:rsidRPr="00EC68CC" w:rsidRDefault="00C0633E" w:rsidP="00F118A8">
      <w:pPr>
        <w:pStyle w:val="Paragraphedeliste"/>
        <w:numPr>
          <w:ilvl w:val="0"/>
          <w:numId w:val="7"/>
        </w:numPr>
        <w:rPr>
          <w:rFonts w:cstheme="minorHAnsi"/>
        </w:rPr>
      </w:pPr>
      <w:proofErr w:type="gramStart"/>
      <w:r w:rsidRPr="00EC68CC">
        <w:rPr>
          <w:rFonts w:cstheme="minorHAnsi"/>
        </w:rPr>
        <w:t>avoir</w:t>
      </w:r>
      <w:proofErr w:type="gramEnd"/>
      <w:r w:rsidRPr="00EC68CC">
        <w:rPr>
          <w:rFonts w:cstheme="minorHAnsi"/>
        </w:rPr>
        <w:t xml:space="preserve"> été contacté</w:t>
      </w:r>
      <w:r w:rsidR="007C67B0" w:rsidRPr="00EC68CC">
        <w:rPr>
          <w:rFonts w:cstheme="minorHAnsi"/>
        </w:rPr>
        <w:t>s</w:t>
      </w:r>
      <w:r w:rsidRPr="00EC68CC">
        <w:rPr>
          <w:rFonts w:cstheme="minorHAnsi"/>
        </w:rPr>
        <w:t xml:space="preserve"> et être </w:t>
      </w:r>
      <w:r w:rsidR="007C67B0" w:rsidRPr="00EC68CC">
        <w:rPr>
          <w:rFonts w:cstheme="minorHAnsi"/>
        </w:rPr>
        <w:t>en accord avec cette demande de financement;</w:t>
      </w:r>
    </w:p>
    <w:p w14:paraId="6441EEF9" w14:textId="7E4FB435" w:rsidR="0091766D" w:rsidRPr="00EC68CC" w:rsidRDefault="00193DBC" w:rsidP="00F118A8">
      <w:pPr>
        <w:pStyle w:val="Paragraphedeliste"/>
        <w:numPr>
          <w:ilvl w:val="0"/>
          <w:numId w:val="7"/>
        </w:numPr>
        <w:rPr>
          <w:rFonts w:cstheme="minorHAnsi"/>
        </w:rPr>
      </w:pPr>
      <w:proofErr w:type="gramStart"/>
      <w:r w:rsidRPr="00EC68CC">
        <w:rPr>
          <w:rFonts w:cstheme="minorHAnsi"/>
        </w:rPr>
        <w:t>être</w:t>
      </w:r>
      <w:proofErr w:type="gramEnd"/>
      <w:r w:rsidRPr="00EC68CC">
        <w:rPr>
          <w:rFonts w:cstheme="minorHAnsi"/>
        </w:rPr>
        <w:t xml:space="preserve"> une entreprise ou un organisme œuvrant à l’extérieur du gouvernement provincial ou fédéral (le</w:t>
      </w:r>
      <w:r w:rsidR="00961A06" w:rsidRPr="00EC68CC">
        <w:rPr>
          <w:rFonts w:cstheme="minorHAnsi"/>
        </w:rPr>
        <w:t>s</w:t>
      </w:r>
      <w:r w:rsidRPr="00EC68CC">
        <w:rPr>
          <w:rFonts w:cstheme="minorHAnsi"/>
        </w:rPr>
        <w:t xml:space="preserve"> gouvernement</w:t>
      </w:r>
      <w:r w:rsidR="00961A06" w:rsidRPr="00EC68CC">
        <w:rPr>
          <w:rFonts w:cstheme="minorHAnsi"/>
        </w:rPr>
        <w:t>s</w:t>
      </w:r>
      <w:r w:rsidRPr="00EC68CC">
        <w:rPr>
          <w:rFonts w:cstheme="minorHAnsi"/>
        </w:rPr>
        <w:t xml:space="preserve"> municipa</w:t>
      </w:r>
      <w:r w:rsidR="00961A06" w:rsidRPr="00EC68CC">
        <w:rPr>
          <w:rFonts w:cstheme="minorHAnsi"/>
        </w:rPr>
        <w:t>ux</w:t>
      </w:r>
      <w:r w:rsidRPr="00EC68CC">
        <w:rPr>
          <w:rFonts w:cstheme="minorHAnsi"/>
        </w:rPr>
        <w:t xml:space="preserve"> </w:t>
      </w:r>
      <w:r w:rsidR="00961A06" w:rsidRPr="00EC68CC">
        <w:rPr>
          <w:rFonts w:cstheme="minorHAnsi"/>
        </w:rPr>
        <w:t xml:space="preserve">sont des </w:t>
      </w:r>
      <w:r w:rsidRPr="00EC68CC">
        <w:rPr>
          <w:rFonts w:cstheme="minorHAnsi"/>
        </w:rPr>
        <w:t>partenaire</w:t>
      </w:r>
      <w:r w:rsidR="00961A06" w:rsidRPr="00EC68CC">
        <w:rPr>
          <w:rFonts w:cstheme="minorHAnsi"/>
        </w:rPr>
        <w:t>s</w:t>
      </w:r>
      <w:r w:rsidRPr="00EC68CC">
        <w:rPr>
          <w:rFonts w:cstheme="minorHAnsi"/>
        </w:rPr>
        <w:t xml:space="preserve"> éligible</w:t>
      </w:r>
      <w:r w:rsidR="00961A06" w:rsidRPr="00EC68CC">
        <w:rPr>
          <w:rFonts w:cstheme="minorHAnsi"/>
        </w:rPr>
        <w:t>s</w:t>
      </w:r>
      <w:r w:rsidRPr="00EC68CC">
        <w:rPr>
          <w:rFonts w:cstheme="minorHAnsi"/>
        </w:rPr>
        <w:t>);</w:t>
      </w:r>
    </w:p>
    <w:p w14:paraId="34D3D13F" w14:textId="77777777" w:rsidR="00F118A8" w:rsidRDefault="00004DB6" w:rsidP="00F118A8">
      <w:pPr>
        <w:pStyle w:val="Paragraphedeliste"/>
        <w:numPr>
          <w:ilvl w:val="0"/>
          <w:numId w:val="7"/>
        </w:numPr>
        <w:rPr>
          <w:rFonts w:cstheme="minorHAnsi"/>
        </w:rPr>
      </w:pPr>
      <w:proofErr w:type="gramStart"/>
      <w:r w:rsidRPr="00EC68CC">
        <w:rPr>
          <w:rFonts w:cstheme="minorHAnsi"/>
        </w:rPr>
        <w:t>démontrer</w:t>
      </w:r>
      <w:proofErr w:type="gramEnd"/>
      <w:r w:rsidRPr="00EC68CC">
        <w:rPr>
          <w:rFonts w:cstheme="minorHAnsi"/>
        </w:rPr>
        <w:t xml:space="preserve"> leur investissement dans</w:t>
      </w:r>
      <w:r w:rsidRPr="00F118A8">
        <w:rPr>
          <w:rFonts w:cstheme="minorHAnsi"/>
        </w:rPr>
        <w:t xml:space="preserve"> le succès du stage de </w:t>
      </w:r>
      <w:r w:rsidR="002D7D18" w:rsidRPr="00F118A8">
        <w:rPr>
          <w:rFonts w:cstheme="minorHAnsi"/>
        </w:rPr>
        <w:t>la personne étudiante</w:t>
      </w:r>
      <w:r w:rsidRPr="00F118A8">
        <w:rPr>
          <w:rFonts w:cstheme="minorHAnsi"/>
        </w:rPr>
        <w:t xml:space="preserve">; </w:t>
      </w:r>
    </w:p>
    <w:p w14:paraId="21359FA1" w14:textId="77777777" w:rsidR="00F118A8" w:rsidRDefault="00004DB6" w:rsidP="00F118A8">
      <w:pPr>
        <w:pStyle w:val="Paragraphedeliste"/>
        <w:numPr>
          <w:ilvl w:val="0"/>
          <w:numId w:val="7"/>
        </w:numPr>
        <w:rPr>
          <w:rFonts w:cstheme="minorHAnsi"/>
        </w:rPr>
      </w:pPr>
      <w:proofErr w:type="gramStart"/>
      <w:r w:rsidRPr="00F118A8">
        <w:rPr>
          <w:rFonts w:cstheme="minorHAnsi"/>
        </w:rPr>
        <w:t>assurer</w:t>
      </w:r>
      <w:proofErr w:type="gramEnd"/>
      <w:r w:rsidRPr="00F118A8">
        <w:rPr>
          <w:rFonts w:cstheme="minorHAnsi"/>
        </w:rPr>
        <w:t xml:space="preserve"> une surveillance, une formation et un encadrement appropriés;</w:t>
      </w:r>
    </w:p>
    <w:p w14:paraId="3454B422" w14:textId="1E4677B5" w:rsidR="62988D35" w:rsidRPr="00F118A8" w:rsidRDefault="00004DB6" w:rsidP="00F118A8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proofErr w:type="gramStart"/>
      <w:r w:rsidRPr="00F118A8">
        <w:t>participer</w:t>
      </w:r>
      <w:proofErr w:type="gramEnd"/>
      <w:r w:rsidRPr="00F118A8">
        <w:t xml:space="preserve"> à des sondages et à des groupes de discussion ou consultations, au besoin.</w:t>
      </w:r>
    </w:p>
    <w:p w14:paraId="1F4DE437" w14:textId="77777777" w:rsidR="00F118A8" w:rsidRDefault="00F118A8" w:rsidP="00D5780B">
      <w:pPr>
        <w:spacing w:after="0" w:line="240" w:lineRule="auto"/>
        <w:jc w:val="both"/>
      </w:pPr>
    </w:p>
    <w:p w14:paraId="398A86FA" w14:textId="513A92A5" w:rsidR="00D5780B" w:rsidRDefault="009F13BC" w:rsidP="00D5780B">
      <w:pPr>
        <w:spacing w:after="0" w:line="240" w:lineRule="auto"/>
        <w:jc w:val="both"/>
      </w:pPr>
      <w:r>
        <w:t>L</w:t>
      </w:r>
      <w:r w:rsidR="00D5780B">
        <w:t xml:space="preserve">a </w:t>
      </w:r>
      <w:r w:rsidR="00D5780B" w:rsidRPr="00D5780B">
        <w:rPr>
          <w:b/>
        </w:rPr>
        <w:t>préférence est accordée</w:t>
      </w:r>
      <w:r>
        <w:rPr>
          <w:b/>
        </w:rPr>
        <w:t xml:space="preserve"> aux projets dont les </w:t>
      </w:r>
      <w:r w:rsidR="00D5780B" w:rsidRPr="00D5780B">
        <w:rPr>
          <w:b/>
        </w:rPr>
        <w:t>partenaires sur le marché</w:t>
      </w:r>
      <w:r>
        <w:rPr>
          <w:b/>
        </w:rPr>
        <w:t xml:space="preserve"> du travail </w:t>
      </w:r>
      <w:r w:rsidR="00D5780B" w:rsidRPr="00D5780B">
        <w:rPr>
          <w:b/>
        </w:rPr>
        <w:t xml:space="preserve">présentent les caractéristiques </w:t>
      </w:r>
      <w:r w:rsidR="00D5780B" w:rsidRPr="009F13BC">
        <w:rPr>
          <w:b/>
        </w:rPr>
        <w:t>souhaitées suivantes</w:t>
      </w:r>
      <w:r w:rsidRPr="009F13BC">
        <w:rPr>
          <w:b/>
          <w:color w:val="FF0000"/>
        </w:rPr>
        <w:t xml:space="preserve"> </w:t>
      </w:r>
      <w:r w:rsidR="00D5780B" w:rsidRPr="009F13BC">
        <w:t>:</w:t>
      </w:r>
      <w:r w:rsidR="00D5780B">
        <w:t xml:space="preserve">   </w:t>
      </w:r>
    </w:p>
    <w:p w14:paraId="1AF894F8" w14:textId="7AC7EEB6" w:rsidR="00D5780B" w:rsidRDefault="00D5780B" w:rsidP="00D5780B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offrir</w:t>
      </w:r>
      <w:proofErr w:type="gramEnd"/>
      <w:r>
        <w:t xml:space="preserve"> des possibilités dans des domaines d’études qui ne font habituellement pas l’objet de soutien </w:t>
      </w:r>
      <w:r w:rsidR="00A827EF">
        <w:t>(par exemple</w:t>
      </w:r>
      <w:r w:rsidRPr="00A827EF">
        <w:t xml:space="preserve"> les arts </w:t>
      </w:r>
      <w:r w:rsidR="00A827EF" w:rsidRPr="00A827EF">
        <w:t>et les sciences sociales</w:t>
      </w:r>
      <w:r w:rsidRPr="00A827EF">
        <w:t>);</w:t>
      </w:r>
      <w:r>
        <w:t xml:space="preserve">  </w:t>
      </w:r>
    </w:p>
    <w:p w14:paraId="5F7ED167" w14:textId="3D673109" w:rsidR="00D5780B" w:rsidRDefault="00D5780B" w:rsidP="00D5780B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être</w:t>
      </w:r>
      <w:proofErr w:type="gramEnd"/>
      <w:r>
        <w:t xml:space="preserve"> un organisme à but non lucratif ou une petit</w:t>
      </w:r>
      <w:r w:rsidR="009F13BC">
        <w:t>e ou moyenne entreprise reconnu et exploité</w:t>
      </w:r>
      <w:r>
        <w:t xml:space="preserve"> au Nouveau-Brunswick;  </w:t>
      </w:r>
    </w:p>
    <w:p w14:paraId="4F1658AA" w14:textId="064B4DC0" w:rsidR="00D5780B" w:rsidRDefault="00D5780B" w:rsidP="00D5780B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offrir</w:t>
      </w:r>
      <w:proofErr w:type="gramEnd"/>
      <w:r>
        <w:t xml:space="preserve"> des possibilités de travail stimulantes axées sur le savoir</w:t>
      </w:r>
      <w:r w:rsidR="007E058C">
        <w:t>, le savoir-faire et le savoir-être</w:t>
      </w:r>
      <w:r>
        <w:t xml:space="preserve">;  </w:t>
      </w:r>
    </w:p>
    <w:p w14:paraId="6CE56D12" w14:textId="77777777" w:rsidR="00D5780B" w:rsidRDefault="00D5780B" w:rsidP="00D5780B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offrir</w:t>
      </w:r>
      <w:proofErr w:type="gramEnd"/>
      <w:r>
        <w:t xml:space="preserve"> des possibilités de développement de carrière; </w:t>
      </w:r>
    </w:p>
    <w:p w14:paraId="21383810" w14:textId="26F98967" w:rsidR="00D5780B" w:rsidRDefault="00D5780B" w:rsidP="00D5780B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offrir</w:t>
      </w:r>
      <w:proofErr w:type="gramEnd"/>
      <w:r>
        <w:t xml:space="preserve"> une égalité d’accès aux stages aux </w:t>
      </w:r>
      <w:r w:rsidR="00276FDE">
        <w:t>personnes étudiantes</w:t>
      </w:r>
      <w:r>
        <w:t xml:space="preserve"> qui sont autochtones, </w:t>
      </w:r>
      <w:r w:rsidR="00276FDE">
        <w:t>qui vivent avec une incapacité</w:t>
      </w:r>
      <w:r>
        <w:t xml:space="preserve">, </w:t>
      </w:r>
      <w:r w:rsidR="00276FDE">
        <w:t xml:space="preserve">qui </w:t>
      </w:r>
      <w:r>
        <w:t>étudient dans de</w:t>
      </w:r>
      <w:r w:rsidR="00276FDE">
        <w:t>s do</w:t>
      </w:r>
      <w:r w:rsidR="00663D9C">
        <w:t xml:space="preserve">maines non traditionnels, qui </w:t>
      </w:r>
      <w:r>
        <w:t xml:space="preserve">sont </w:t>
      </w:r>
      <w:r w:rsidR="00663D9C">
        <w:t>en début de programme d’études</w:t>
      </w:r>
      <w:r w:rsidRPr="00663D9C">
        <w:t>,</w:t>
      </w:r>
      <w:r>
        <w:t xml:space="preserve"> </w:t>
      </w:r>
      <w:r w:rsidR="00276FDE">
        <w:t xml:space="preserve">qui </w:t>
      </w:r>
      <w:r>
        <w:t xml:space="preserve">sont des </w:t>
      </w:r>
      <w:r w:rsidR="00276FDE">
        <w:t>personnes étudiantes internationales</w:t>
      </w:r>
      <w:r w:rsidR="00547F37">
        <w:t xml:space="preserve">, </w:t>
      </w:r>
      <w:r>
        <w:t xml:space="preserve">de nouveaux arrivants ou tout autre groupe sous-représenté; </w:t>
      </w:r>
    </w:p>
    <w:p w14:paraId="1F269545" w14:textId="209D778A" w:rsidR="00D5780B" w:rsidRDefault="00D5780B" w:rsidP="00D5780B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faire</w:t>
      </w:r>
      <w:proofErr w:type="gramEnd"/>
      <w:r>
        <w:t xml:space="preserve"> montre d’un engagement à l’égard de la réussite </w:t>
      </w:r>
      <w:r w:rsidR="00547F37">
        <w:t>de la personne étudiante</w:t>
      </w:r>
      <w:r>
        <w:t xml:space="preserve"> en lui offrant de l’encadrement et du mentorat par l’entremise des employés existants. </w:t>
      </w:r>
    </w:p>
    <w:p w14:paraId="26393223" w14:textId="77777777" w:rsidR="00D5780B" w:rsidRDefault="00D5780B" w:rsidP="00D5780B">
      <w:pPr>
        <w:spacing w:after="0" w:line="240" w:lineRule="auto"/>
        <w:jc w:val="both"/>
      </w:pPr>
    </w:p>
    <w:p w14:paraId="10B954D0" w14:textId="401FDFAC" w:rsidR="00AA5FE9" w:rsidRDefault="00AA5FE9" w:rsidP="2C69F712">
      <w:pPr>
        <w:spacing w:after="0" w:line="240" w:lineRule="auto"/>
        <w:jc w:val="both"/>
        <w:rPr>
          <w:b/>
          <w:bCs/>
        </w:rPr>
      </w:pPr>
    </w:p>
    <w:p w14:paraId="21D4ABB8" w14:textId="4A2EC98A" w:rsidR="00CA024F" w:rsidRDefault="00CA024F" w:rsidP="2C69F712">
      <w:pPr>
        <w:spacing w:after="0" w:line="240" w:lineRule="auto"/>
        <w:jc w:val="both"/>
        <w:rPr>
          <w:b/>
          <w:bCs/>
        </w:rPr>
      </w:pPr>
    </w:p>
    <w:p w14:paraId="7FF69FED" w14:textId="77777777" w:rsidR="00CA024F" w:rsidRPr="00A72FA5" w:rsidRDefault="00CA024F" w:rsidP="2C69F712">
      <w:pPr>
        <w:spacing w:after="0" w:line="240" w:lineRule="auto"/>
        <w:jc w:val="both"/>
        <w:rPr>
          <w:b/>
          <w:bCs/>
        </w:rPr>
      </w:pPr>
    </w:p>
    <w:p w14:paraId="7E2BAB8C" w14:textId="574143A8" w:rsidR="2C69F712" w:rsidRPr="007A19E0" w:rsidRDefault="2C69F712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lastRenderedPageBreak/>
        <w:t>INCITATIFS FINANCIERS</w:t>
      </w:r>
    </w:p>
    <w:p w14:paraId="34C69023" w14:textId="77777777" w:rsidR="00152CE5" w:rsidRPr="00A72FA5" w:rsidRDefault="00152CE5" w:rsidP="2C69F712">
      <w:pPr>
        <w:spacing w:after="0" w:line="240" w:lineRule="auto"/>
        <w:jc w:val="both"/>
        <w:rPr>
          <w:b/>
          <w:bCs/>
          <w:sz w:val="12"/>
          <w:szCs w:val="12"/>
        </w:rPr>
      </w:pPr>
    </w:p>
    <w:p w14:paraId="4DA74F33" w14:textId="03E45C4E" w:rsidR="2C69F712" w:rsidRPr="00A72FA5" w:rsidRDefault="006773A3" w:rsidP="2C69F712">
      <w:pPr>
        <w:spacing w:after="0" w:line="240" w:lineRule="auto"/>
        <w:jc w:val="both"/>
      </w:pPr>
      <w:r w:rsidRPr="00A72FA5">
        <w:t>Pour être approuvé, le financement doit servir à éliminer un obstacle, en permettant à la personne étudiante d’accéder à une possibilité d’apprentissage</w:t>
      </w:r>
      <w:r w:rsidR="002B5096" w:rsidRPr="00A72FA5">
        <w:t xml:space="preserve"> expérientiel</w:t>
      </w:r>
      <w:r w:rsidRPr="00A72FA5">
        <w:t xml:space="preserve"> intégré</w:t>
      </w:r>
      <w:r w:rsidR="002B5096" w:rsidRPr="00A72FA5">
        <w:t>e</w:t>
      </w:r>
      <w:r w:rsidRPr="00A72FA5">
        <w:t xml:space="preserve"> au travail dans son domaine d’études.</w:t>
      </w:r>
      <w:r w:rsidR="00976CFE">
        <w:t xml:space="preserve"> </w:t>
      </w:r>
    </w:p>
    <w:p w14:paraId="4A9FA751" w14:textId="2A967E53" w:rsidR="006773A3" w:rsidRPr="00A72FA5" w:rsidRDefault="006773A3" w:rsidP="2C69F712">
      <w:pPr>
        <w:spacing w:after="0" w:line="240" w:lineRule="auto"/>
        <w:jc w:val="both"/>
      </w:pPr>
    </w:p>
    <w:p w14:paraId="577B0BB7" w14:textId="624E7588" w:rsidR="002561F1" w:rsidRPr="005B287D" w:rsidRDefault="006773A3" w:rsidP="2C69F712">
      <w:pPr>
        <w:spacing w:after="0" w:line="240" w:lineRule="auto"/>
        <w:jc w:val="both"/>
      </w:pPr>
      <w:r w:rsidRPr="00A72FA5">
        <w:t xml:space="preserve">Du </w:t>
      </w:r>
      <w:r w:rsidRPr="00EC68CC">
        <w:t xml:space="preserve">financement peut être accordé pour une </w:t>
      </w:r>
      <w:r w:rsidR="006A2BB2" w:rsidRPr="00EC68CC">
        <w:rPr>
          <w:b/>
        </w:rPr>
        <w:t xml:space="preserve">subvention salariale, </w:t>
      </w:r>
      <w:r w:rsidRPr="00EC68CC">
        <w:rPr>
          <w:b/>
        </w:rPr>
        <w:t xml:space="preserve">un </w:t>
      </w:r>
      <w:r w:rsidR="006A2BB2" w:rsidRPr="00EC68CC">
        <w:rPr>
          <w:b/>
        </w:rPr>
        <w:t>logement,</w:t>
      </w:r>
      <w:r w:rsidRPr="00EC68CC">
        <w:rPr>
          <w:b/>
        </w:rPr>
        <w:t xml:space="preserve"> des</w:t>
      </w:r>
      <w:r w:rsidR="006A2BB2" w:rsidRPr="00EC68CC">
        <w:rPr>
          <w:b/>
        </w:rPr>
        <w:t xml:space="preserve"> frais de déplacement, </w:t>
      </w:r>
      <w:r w:rsidRPr="00EC68CC">
        <w:rPr>
          <w:b/>
        </w:rPr>
        <w:t xml:space="preserve">du </w:t>
      </w:r>
      <w:r w:rsidR="006A2BB2" w:rsidRPr="00EC68CC">
        <w:rPr>
          <w:b/>
        </w:rPr>
        <w:t>matériel</w:t>
      </w:r>
      <w:r w:rsidRPr="00EC68CC">
        <w:rPr>
          <w:b/>
        </w:rPr>
        <w:t xml:space="preserve"> nécessaire</w:t>
      </w:r>
      <w:r w:rsidR="006A2BB2" w:rsidRPr="00EC68CC">
        <w:rPr>
          <w:b/>
        </w:rPr>
        <w:t>,</w:t>
      </w:r>
      <w:r w:rsidR="0040283D" w:rsidRPr="00EC68CC">
        <w:rPr>
          <w:b/>
        </w:rPr>
        <w:t xml:space="preserve"> de la formation, des vêtements,</w:t>
      </w:r>
      <w:r w:rsidRPr="00EC68CC">
        <w:rPr>
          <w:b/>
        </w:rPr>
        <w:t xml:space="preserve"> des</w:t>
      </w:r>
      <w:r w:rsidR="006A2BB2" w:rsidRPr="00EC68CC">
        <w:rPr>
          <w:b/>
        </w:rPr>
        <w:t xml:space="preserve"> services de garderie et autres</w:t>
      </w:r>
      <w:r w:rsidR="00D9178A" w:rsidRPr="00EC68CC">
        <w:rPr>
          <w:b/>
        </w:rPr>
        <w:t xml:space="preserve"> (voir Annexe A)</w:t>
      </w:r>
      <w:r w:rsidR="006A2BB2" w:rsidRPr="00EC68CC">
        <w:t>.</w:t>
      </w:r>
      <w:r w:rsidR="007C41FE" w:rsidRPr="00EC68CC">
        <w:t xml:space="preserve"> </w:t>
      </w:r>
      <w:r w:rsidR="005A72B7" w:rsidRPr="00EC68CC">
        <w:t xml:space="preserve">Toutes </w:t>
      </w:r>
      <w:r w:rsidRPr="00EC68CC">
        <w:t>approbations finales sont accordées conforméme</w:t>
      </w:r>
      <w:r w:rsidR="002B5096" w:rsidRPr="00EC68CC">
        <w:t>nt au pouvoir de dépenser</w:t>
      </w:r>
      <w:r w:rsidR="00AA5FE9" w:rsidRPr="00EC68CC">
        <w:t xml:space="preserve"> </w:t>
      </w:r>
      <w:r w:rsidR="002B5096" w:rsidRPr="00EC68CC">
        <w:t>de l’U</w:t>
      </w:r>
      <w:r w:rsidRPr="00EC68CC">
        <w:t xml:space="preserve">niversité </w:t>
      </w:r>
      <w:r w:rsidR="002B5096" w:rsidRPr="00EC68CC">
        <w:t xml:space="preserve">de Moncton </w:t>
      </w:r>
      <w:r w:rsidRPr="00EC68CC">
        <w:t xml:space="preserve">et relèvent </w:t>
      </w:r>
      <w:r w:rsidR="00CC54A0" w:rsidRPr="00EC68CC">
        <w:t xml:space="preserve">du </w:t>
      </w:r>
      <w:r w:rsidR="00CC54A0" w:rsidRPr="00EC68CC">
        <w:rPr>
          <w:rFonts w:ascii="Calibri" w:eastAsia="Calibri" w:hAnsi="Calibri" w:cs="Calibri"/>
        </w:rPr>
        <w:t>ministère de l’Éducation postsecondaire, de la Formation et du Travail.</w:t>
      </w:r>
    </w:p>
    <w:p w14:paraId="7870EB35" w14:textId="1C8DED0C" w:rsidR="00D9178A" w:rsidRDefault="00D9178A" w:rsidP="00D9178A">
      <w:pPr>
        <w:pStyle w:val="Sansinterligne"/>
        <w:jc w:val="both"/>
        <w:rPr>
          <w:rFonts w:cstheme="minorHAnsi"/>
          <w:b/>
          <w:lang w:val="fr-CA"/>
        </w:rPr>
      </w:pPr>
    </w:p>
    <w:p w14:paraId="6F45D1FE" w14:textId="77777777" w:rsidR="00EE5E9F" w:rsidRPr="00EE5E9F" w:rsidRDefault="00EE5E9F" w:rsidP="00D9178A">
      <w:pPr>
        <w:pStyle w:val="Sansinterligne"/>
        <w:jc w:val="both"/>
        <w:rPr>
          <w:rFonts w:cstheme="minorHAnsi"/>
          <w:b/>
          <w:lang w:val="fr-CA"/>
        </w:rPr>
      </w:pPr>
    </w:p>
    <w:p w14:paraId="5EE26373" w14:textId="72C251F9" w:rsidR="00D9178A" w:rsidRPr="007A19E0" w:rsidRDefault="00EE5E9F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t xml:space="preserve">PROCESSUS D’APPROBATION DU FINANCEMENT  </w:t>
      </w:r>
    </w:p>
    <w:p w14:paraId="22823412" w14:textId="77777777" w:rsidR="00EE5E9F" w:rsidRPr="00AA5FE9" w:rsidRDefault="00EE5E9F" w:rsidP="00D9178A">
      <w:pPr>
        <w:pStyle w:val="Sansinterligne"/>
        <w:jc w:val="both"/>
        <w:rPr>
          <w:rFonts w:cstheme="minorHAnsi"/>
          <w:sz w:val="12"/>
          <w:szCs w:val="12"/>
          <w:lang w:val="fr-CA"/>
        </w:rPr>
      </w:pPr>
    </w:p>
    <w:p w14:paraId="528832E4" w14:textId="3092DEA0" w:rsidR="00BE0D95" w:rsidRPr="00116F5D" w:rsidRDefault="00D9178A" w:rsidP="00986C27">
      <w:pPr>
        <w:pStyle w:val="Sansinterligne"/>
        <w:rPr>
          <w:rFonts w:cstheme="minorHAnsi"/>
          <w:b/>
          <w:lang w:val="fr-CA"/>
        </w:rPr>
      </w:pPr>
      <w:r w:rsidRPr="00116F5D">
        <w:rPr>
          <w:rFonts w:cstheme="minorHAnsi"/>
          <w:b/>
          <w:lang w:val="fr-CA"/>
        </w:rPr>
        <w:t xml:space="preserve">Toute approbation de financement sera accordée par </w:t>
      </w:r>
      <w:r w:rsidR="007E058C" w:rsidRPr="00116F5D">
        <w:rPr>
          <w:rFonts w:cstheme="minorHAnsi"/>
          <w:b/>
          <w:lang w:val="fr-CA"/>
        </w:rPr>
        <w:t>l’U</w:t>
      </w:r>
      <w:r w:rsidRPr="00116F5D">
        <w:rPr>
          <w:rFonts w:cstheme="minorHAnsi"/>
          <w:b/>
          <w:lang w:val="fr-CA"/>
        </w:rPr>
        <w:t>niversité</w:t>
      </w:r>
      <w:r w:rsidR="007E058C" w:rsidRPr="00116F5D">
        <w:rPr>
          <w:rFonts w:cstheme="minorHAnsi"/>
          <w:b/>
          <w:lang w:val="fr-CA"/>
        </w:rPr>
        <w:t xml:space="preserve"> de Moncton</w:t>
      </w:r>
      <w:r w:rsidRPr="00116F5D">
        <w:rPr>
          <w:rFonts w:cstheme="minorHAnsi"/>
          <w:b/>
          <w:lang w:val="fr-CA"/>
        </w:rPr>
        <w:t>.</w:t>
      </w:r>
    </w:p>
    <w:p w14:paraId="6C9AE8D5" w14:textId="77777777" w:rsidR="00BE0D95" w:rsidRDefault="00BE0D95" w:rsidP="00FB0F93">
      <w:pPr>
        <w:pStyle w:val="Sansinterligne"/>
        <w:jc w:val="both"/>
        <w:rPr>
          <w:rFonts w:cstheme="minorHAnsi"/>
          <w:lang w:val="fr-CA"/>
        </w:rPr>
      </w:pPr>
    </w:p>
    <w:p w14:paraId="1A6731E8" w14:textId="0B4B8E33" w:rsidR="00FB0F93" w:rsidRPr="00FB0F93" w:rsidRDefault="00FB0F93" w:rsidP="00FB0F93">
      <w:pPr>
        <w:pStyle w:val="Sansinterligne"/>
        <w:jc w:val="both"/>
        <w:rPr>
          <w:rFonts w:cstheme="minorHAnsi"/>
          <w:lang w:val="fr-CA"/>
        </w:rPr>
      </w:pPr>
      <w:r w:rsidRPr="00FB0F93">
        <w:rPr>
          <w:lang w:val="fr-CA"/>
        </w:rPr>
        <w:t xml:space="preserve">Le Comité consultatif de l’apprentissage expérientiel de l’Université de Moncton évaluera les demandes de financement pour l’approbation finale. </w:t>
      </w:r>
    </w:p>
    <w:p w14:paraId="710EA121" w14:textId="77777777" w:rsidR="00D9178A" w:rsidRPr="00AA5FE9" w:rsidRDefault="00D9178A" w:rsidP="00D9178A">
      <w:pPr>
        <w:pStyle w:val="Sansinterligne"/>
        <w:jc w:val="both"/>
        <w:rPr>
          <w:rFonts w:cstheme="minorHAnsi"/>
          <w:lang w:val="fr-CA"/>
        </w:rPr>
      </w:pPr>
    </w:p>
    <w:p w14:paraId="594869F2" w14:textId="242EF937" w:rsidR="00D9178A" w:rsidRPr="00AA5FE9" w:rsidRDefault="00D9178A" w:rsidP="00D9178A">
      <w:pPr>
        <w:pStyle w:val="Sansinterligne"/>
        <w:jc w:val="both"/>
        <w:rPr>
          <w:rFonts w:cstheme="minorHAnsi"/>
          <w:lang w:val="fr-CA"/>
        </w:rPr>
      </w:pPr>
      <w:r w:rsidRPr="00AA5FE9">
        <w:rPr>
          <w:rFonts w:cstheme="minorHAnsi"/>
          <w:lang w:val="fr-CA"/>
        </w:rPr>
        <w:t xml:space="preserve">L’approbation sera basée sur la qualité de l’expérience, les résultats prévus pour </w:t>
      </w:r>
      <w:r w:rsidR="00FD2B01" w:rsidRPr="00AA5FE9">
        <w:rPr>
          <w:rFonts w:cstheme="minorHAnsi"/>
          <w:lang w:val="fr-CA"/>
        </w:rPr>
        <w:t>la personne étudiante</w:t>
      </w:r>
      <w:r w:rsidRPr="00AA5FE9">
        <w:rPr>
          <w:rFonts w:cstheme="minorHAnsi"/>
          <w:lang w:val="fr-CA"/>
        </w:rPr>
        <w:t xml:space="preserve"> et l’engagement de l’employeur </w:t>
      </w:r>
      <w:r w:rsidR="00FD2B01" w:rsidRPr="00AA5FE9">
        <w:rPr>
          <w:rFonts w:cstheme="minorHAnsi"/>
          <w:lang w:val="fr-CA"/>
        </w:rPr>
        <w:t>ou</w:t>
      </w:r>
      <w:r w:rsidR="00EB51B6" w:rsidRPr="00AA5FE9">
        <w:rPr>
          <w:rFonts w:cstheme="minorHAnsi"/>
          <w:lang w:val="fr-CA"/>
        </w:rPr>
        <w:t xml:space="preserve"> de</w:t>
      </w:r>
      <w:r w:rsidR="00FD2B01" w:rsidRPr="00AA5FE9">
        <w:rPr>
          <w:rFonts w:cstheme="minorHAnsi"/>
          <w:lang w:val="fr-CA"/>
        </w:rPr>
        <w:t xml:space="preserve"> l’organisme </w:t>
      </w:r>
      <w:r w:rsidRPr="00AA5FE9">
        <w:rPr>
          <w:rFonts w:cstheme="minorHAnsi"/>
          <w:lang w:val="fr-CA"/>
        </w:rPr>
        <w:t>à l’égard du succès du stage.</w:t>
      </w:r>
    </w:p>
    <w:p w14:paraId="4A15459A" w14:textId="77777777" w:rsidR="00D9178A" w:rsidRPr="00AA5FE9" w:rsidRDefault="00D9178A" w:rsidP="00D9178A">
      <w:pPr>
        <w:pStyle w:val="Sansinterligne"/>
        <w:jc w:val="both"/>
        <w:rPr>
          <w:lang w:val="fr-CA"/>
        </w:rPr>
      </w:pPr>
    </w:p>
    <w:p w14:paraId="65E7536E" w14:textId="4E33DD88" w:rsidR="00D9178A" w:rsidRDefault="00D9178A" w:rsidP="00D9178A">
      <w:pPr>
        <w:pStyle w:val="Sansinterligne"/>
        <w:jc w:val="both"/>
        <w:rPr>
          <w:lang w:val="fr-CA"/>
        </w:rPr>
      </w:pPr>
      <w:r w:rsidRPr="00AA5FE9">
        <w:rPr>
          <w:lang w:val="fr-CA"/>
        </w:rPr>
        <w:t xml:space="preserve">Une entente officielle d’apprentissage expérientiel doit être consignée, indiquant que toutes les parties, notamment </w:t>
      </w:r>
      <w:r w:rsidR="00E65163" w:rsidRPr="00AA5FE9">
        <w:rPr>
          <w:lang w:val="fr-CA"/>
        </w:rPr>
        <w:t>la personne étudiante</w:t>
      </w:r>
      <w:r w:rsidRPr="00AA5FE9">
        <w:rPr>
          <w:lang w:val="fr-CA"/>
        </w:rPr>
        <w:t xml:space="preserve">, l’employeur </w:t>
      </w:r>
      <w:r w:rsidR="00E65163" w:rsidRPr="00AA5FE9">
        <w:rPr>
          <w:lang w:val="fr-CA"/>
        </w:rPr>
        <w:t xml:space="preserve">ou l’organisme </w:t>
      </w:r>
      <w:r w:rsidRPr="00AA5FE9">
        <w:rPr>
          <w:lang w:val="fr-CA"/>
        </w:rPr>
        <w:t>et l’université, acceptent les conditions de la possibilité d’apprentissage expérientiel proposée, ainsi que le montant qui sera accordé, avant l’approbation des fonds.</w:t>
      </w:r>
      <w:r w:rsidRPr="00D9178A">
        <w:rPr>
          <w:lang w:val="fr-CA"/>
        </w:rPr>
        <w:t xml:space="preserve"> </w:t>
      </w:r>
    </w:p>
    <w:p w14:paraId="36C69C73" w14:textId="2AF27C5C" w:rsidR="00DB26C3" w:rsidRDefault="00DB26C3" w:rsidP="00D9178A">
      <w:pPr>
        <w:pStyle w:val="Sansinterligne"/>
        <w:jc w:val="both"/>
        <w:rPr>
          <w:lang w:val="fr-CA"/>
        </w:rPr>
      </w:pPr>
    </w:p>
    <w:p w14:paraId="33998C32" w14:textId="2615F63A" w:rsidR="00DB26C3" w:rsidRDefault="00DB26C3" w:rsidP="00D9178A">
      <w:pPr>
        <w:pStyle w:val="Sansinterligne"/>
        <w:jc w:val="both"/>
        <w:rPr>
          <w:lang w:val="fr-CA"/>
        </w:rPr>
      </w:pPr>
      <w:r w:rsidRPr="00DB26C3">
        <w:rPr>
          <w:lang w:val="fr-CA"/>
        </w:rPr>
        <w:t>Une approbation par écrit sera transmise décrivant en détail les exigences en matière de rapports et de reddition de comptes.</w:t>
      </w:r>
    </w:p>
    <w:p w14:paraId="3EE6617C" w14:textId="6B13D283" w:rsidR="0060179C" w:rsidRPr="002561F1" w:rsidRDefault="0060179C" w:rsidP="002561F1">
      <w:pPr>
        <w:pStyle w:val="Sansinterligne"/>
        <w:jc w:val="both"/>
        <w:rPr>
          <w:lang w:val="fr-CA"/>
        </w:rPr>
      </w:pPr>
    </w:p>
    <w:p w14:paraId="41AA739F" w14:textId="77777777" w:rsidR="002561F1" w:rsidRDefault="002561F1">
      <w:pPr>
        <w:rPr>
          <w:b/>
          <w:sz w:val="24"/>
        </w:rPr>
      </w:pPr>
      <w:r>
        <w:rPr>
          <w:b/>
          <w:sz w:val="24"/>
        </w:rPr>
        <w:br w:type="page"/>
      </w:r>
    </w:p>
    <w:p w14:paraId="5C197B17" w14:textId="4DF16B33" w:rsidR="007D21B5" w:rsidRPr="007A19E0" w:rsidRDefault="007D21B5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lastRenderedPageBreak/>
        <w:t>APPRENTISSAGE EXPÉRIENTIEL</w:t>
      </w:r>
    </w:p>
    <w:p w14:paraId="7EA81CBD" w14:textId="2258F74A" w:rsidR="007D21B5" w:rsidRPr="00A7563D" w:rsidRDefault="007D21B5" w:rsidP="00890007">
      <w:pPr>
        <w:spacing w:after="0" w:line="240" w:lineRule="auto"/>
        <w:jc w:val="both"/>
        <w:rPr>
          <w:sz w:val="12"/>
        </w:rPr>
      </w:pPr>
    </w:p>
    <w:p w14:paraId="7C87C14C" w14:textId="0A672530" w:rsidR="00A7563D" w:rsidRDefault="00A7563D" w:rsidP="002432A5">
      <w:pPr>
        <w:spacing w:after="0" w:line="240" w:lineRule="auto"/>
        <w:jc w:val="both"/>
      </w:pPr>
      <w:r w:rsidRPr="002432A5">
        <w:t>Dans cette initiative, l</w:t>
      </w:r>
      <w:r w:rsidR="0055092E" w:rsidRPr="002432A5">
        <w:t>es activités définies comme étant des occasions d’</w:t>
      </w:r>
      <w:r w:rsidRPr="002432A5">
        <w:t xml:space="preserve">apprentissage expérientiel </w:t>
      </w:r>
      <w:r w:rsidR="0055092E" w:rsidRPr="002432A5">
        <w:t>respectent le cadre de référence suivant.</w:t>
      </w:r>
    </w:p>
    <w:p w14:paraId="320A6799" w14:textId="03440ECE" w:rsidR="00594805" w:rsidRDefault="00594805" w:rsidP="002432A5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812"/>
        <w:gridCol w:w="6834"/>
      </w:tblGrid>
      <w:tr w:rsidR="008360B5" w14:paraId="2F07D066" w14:textId="77777777" w:rsidTr="008360B5">
        <w:tc>
          <w:tcPr>
            <w:tcW w:w="1812" w:type="dxa"/>
            <w:shd w:val="clear" w:color="auto" w:fill="D9D9D9" w:themeFill="background1" w:themeFillShade="D9"/>
          </w:tcPr>
          <w:p w14:paraId="3B9E67D1" w14:textId="77777777" w:rsidR="008360B5" w:rsidRPr="00C74196" w:rsidRDefault="008360B5" w:rsidP="008360B5">
            <w:pPr>
              <w:jc w:val="center"/>
              <w:rPr>
                <w:b/>
                <w:sz w:val="12"/>
                <w:szCs w:val="12"/>
              </w:rPr>
            </w:pPr>
          </w:p>
          <w:p w14:paraId="47019424" w14:textId="77777777" w:rsidR="008360B5" w:rsidRPr="00C74196" w:rsidRDefault="008360B5" w:rsidP="008360B5">
            <w:pPr>
              <w:jc w:val="center"/>
              <w:rPr>
                <w:b/>
              </w:rPr>
            </w:pPr>
            <w:r w:rsidRPr="00C74196">
              <w:rPr>
                <w:b/>
              </w:rPr>
              <w:t>Catégorie d’activité</w:t>
            </w:r>
          </w:p>
          <w:p w14:paraId="1441A397" w14:textId="0C9DD8C0" w:rsidR="008360B5" w:rsidRPr="00C74196" w:rsidRDefault="008360B5" w:rsidP="008360B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834" w:type="dxa"/>
            <w:shd w:val="clear" w:color="auto" w:fill="D9D9D9" w:themeFill="background1" w:themeFillShade="D9"/>
          </w:tcPr>
          <w:p w14:paraId="229D1367" w14:textId="77777777" w:rsidR="008360B5" w:rsidRPr="00C74196" w:rsidRDefault="008360B5" w:rsidP="008360B5">
            <w:pPr>
              <w:jc w:val="center"/>
              <w:rPr>
                <w:b/>
                <w:sz w:val="12"/>
                <w:szCs w:val="12"/>
              </w:rPr>
            </w:pPr>
          </w:p>
          <w:p w14:paraId="7EFE2696" w14:textId="77777777" w:rsidR="008360B5" w:rsidRPr="00C74196" w:rsidRDefault="008360B5" w:rsidP="008360B5">
            <w:pPr>
              <w:jc w:val="center"/>
              <w:rPr>
                <w:b/>
              </w:rPr>
            </w:pPr>
            <w:r w:rsidRPr="00C74196">
              <w:rPr>
                <w:b/>
              </w:rPr>
              <w:t>Définition générale</w:t>
            </w:r>
          </w:p>
          <w:p w14:paraId="352D89AF" w14:textId="2E47E1FE" w:rsidR="008360B5" w:rsidRPr="00C74196" w:rsidRDefault="008360B5" w:rsidP="008360B5">
            <w:pPr>
              <w:jc w:val="center"/>
              <w:rPr>
                <w:b/>
              </w:rPr>
            </w:pPr>
          </w:p>
        </w:tc>
      </w:tr>
      <w:tr w:rsidR="008360B5" w14:paraId="58DFBFF9" w14:textId="77777777" w:rsidTr="008360B5">
        <w:tc>
          <w:tcPr>
            <w:tcW w:w="1812" w:type="dxa"/>
          </w:tcPr>
          <w:p w14:paraId="6ECBCEDF" w14:textId="77777777" w:rsidR="008360B5" w:rsidRPr="00C74196" w:rsidRDefault="008360B5" w:rsidP="008360B5">
            <w:pPr>
              <w:jc w:val="both"/>
              <w:rPr>
                <w:b/>
                <w:sz w:val="12"/>
                <w:szCs w:val="12"/>
              </w:rPr>
            </w:pPr>
          </w:p>
          <w:p w14:paraId="59D29A04" w14:textId="1BCC32AE" w:rsidR="008360B5" w:rsidRPr="00C74196" w:rsidRDefault="008360B5" w:rsidP="008360B5">
            <w:pPr>
              <w:jc w:val="both"/>
              <w:rPr>
                <w:b/>
              </w:rPr>
            </w:pPr>
            <w:r w:rsidRPr="00C74196">
              <w:rPr>
                <w:b/>
              </w:rPr>
              <w:t>Stage professionnel</w:t>
            </w:r>
          </w:p>
        </w:tc>
        <w:tc>
          <w:tcPr>
            <w:tcW w:w="6834" w:type="dxa"/>
          </w:tcPr>
          <w:p w14:paraId="03C105D2" w14:textId="77777777" w:rsidR="008360B5" w:rsidRPr="00C74196" w:rsidRDefault="008360B5" w:rsidP="008360B5">
            <w:pPr>
              <w:jc w:val="both"/>
              <w:rPr>
                <w:sz w:val="12"/>
                <w:szCs w:val="12"/>
              </w:rPr>
            </w:pPr>
          </w:p>
          <w:p w14:paraId="1F08FD24" w14:textId="77777777" w:rsidR="008360B5" w:rsidRPr="002432A5" w:rsidRDefault="008360B5" w:rsidP="008360B5">
            <w:pPr>
              <w:jc w:val="both"/>
            </w:pPr>
            <w:r w:rsidRPr="002432A5">
              <w:t>Placement dans un milieu professionnel avec un membre du personnel qui est désigné comme mentor. Ces stages sont obligatoires dans le programme d’étude</w:t>
            </w:r>
            <w:r w:rsidRPr="00577082">
              <w:t xml:space="preserve">. La personne étudiante reçoit </w:t>
            </w:r>
            <w:r w:rsidRPr="002432A5">
              <w:t>une reconnaissance universitaire, habituellement en crédits, comme partie intégrale dudit programme.</w:t>
            </w:r>
          </w:p>
          <w:p w14:paraId="7F6B77CC" w14:textId="64CF436B" w:rsidR="008360B5" w:rsidRDefault="008360B5" w:rsidP="008360B5">
            <w:pPr>
              <w:jc w:val="both"/>
            </w:pPr>
          </w:p>
        </w:tc>
      </w:tr>
      <w:tr w:rsidR="008360B5" w14:paraId="071963F7" w14:textId="77777777" w:rsidTr="008360B5">
        <w:tc>
          <w:tcPr>
            <w:tcW w:w="1812" w:type="dxa"/>
          </w:tcPr>
          <w:p w14:paraId="681BC837" w14:textId="77777777" w:rsidR="008360B5" w:rsidRPr="00C74196" w:rsidRDefault="008360B5" w:rsidP="008360B5">
            <w:pPr>
              <w:jc w:val="both"/>
              <w:rPr>
                <w:b/>
                <w:sz w:val="12"/>
                <w:szCs w:val="12"/>
              </w:rPr>
            </w:pPr>
          </w:p>
          <w:p w14:paraId="1AD49ED5" w14:textId="0CDCDC72" w:rsidR="008360B5" w:rsidRPr="00C74196" w:rsidRDefault="008360B5" w:rsidP="008360B5">
            <w:pPr>
              <w:jc w:val="both"/>
              <w:rPr>
                <w:b/>
              </w:rPr>
            </w:pPr>
            <w:r w:rsidRPr="00C74196">
              <w:rPr>
                <w:b/>
              </w:rPr>
              <w:t>Stage</w:t>
            </w:r>
          </w:p>
        </w:tc>
        <w:tc>
          <w:tcPr>
            <w:tcW w:w="6834" w:type="dxa"/>
          </w:tcPr>
          <w:p w14:paraId="1001BB90" w14:textId="77777777" w:rsidR="008360B5" w:rsidRPr="002432A5" w:rsidRDefault="008360B5" w:rsidP="008360B5">
            <w:pPr>
              <w:jc w:val="both"/>
              <w:rPr>
                <w:sz w:val="12"/>
                <w:szCs w:val="12"/>
              </w:rPr>
            </w:pPr>
          </w:p>
          <w:p w14:paraId="2D8534FE" w14:textId="777387DA" w:rsidR="008360B5" w:rsidRPr="002432A5" w:rsidRDefault="008360B5" w:rsidP="008360B5">
            <w:pPr>
              <w:jc w:val="both"/>
            </w:pPr>
            <w:r w:rsidRPr="002432A5">
              <w:t xml:space="preserve">Placement dans un </w:t>
            </w:r>
            <w:r w:rsidRPr="00D041EB">
              <w:t>organisme</w:t>
            </w:r>
            <w:r w:rsidR="00D041EB">
              <w:t xml:space="preserve"> ou entreprise</w:t>
            </w:r>
            <w:r w:rsidRPr="002432A5">
              <w:t xml:space="preserve">, avec un membre du personnel qui est désigné comme mentor. La rémunération financière peut être comprise ou </w:t>
            </w:r>
            <w:r w:rsidRPr="00577082">
              <w:t xml:space="preserve">la personne étudiante </w:t>
            </w:r>
            <w:r w:rsidRPr="002432A5">
              <w:t>peut acquérir des crédits universitaires ou d’autres titres de compétence.</w:t>
            </w:r>
          </w:p>
          <w:p w14:paraId="69DE1004" w14:textId="77777777" w:rsidR="008360B5" w:rsidRDefault="008360B5" w:rsidP="008360B5">
            <w:pPr>
              <w:jc w:val="both"/>
            </w:pPr>
          </w:p>
        </w:tc>
      </w:tr>
      <w:tr w:rsidR="008360B5" w14:paraId="4F07BC8C" w14:textId="77777777" w:rsidTr="008360B5">
        <w:tc>
          <w:tcPr>
            <w:tcW w:w="1812" w:type="dxa"/>
          </w:tcPr>
          <w:p w14:paraId="68FBC619" w14:textId="77777777" w:rsidR="008360B5" w:rsidRPr="00C74196" w:rsidRDefault="008360B5" w:rsidP="008360B5">
            <w:pPr>
              <w:jc w:val="both"/>
              <w:rPr>
                <w:b/>
                <w:sz w:val="12"/>
                <w:szCs w:val="12"/>
              </w:rPr>
            </w:pPr>
          </w:p>
          <w:p w14:paraId="741CAD87" w14:textId="1DEB98AE" w:rsidR="008360B5" w:rsidRPr="00C74196" w:rsidRDefault="008360B5" w:rsidP="008360B5">
            <w:pPr>
              <w:jc w:val="both"/>
              <w:rPr>
                <w:b/>
              </w:rPr>
            </w:pPr>
            <w:r w:rsidRPr="00C74196">
              <w:rPr>
                <w:b/>
              </w:rPr>
              <w:t>Coop</w:t>
            </w:r>
          </w:p>
        </w:tc>
        <w:tc>
          <w:tcPr>
            <w:tcW w:w="6834" w:type="dxa"/>
          </w:tcPr>
          <w:p w14:paraId="724D1EC1" w14:textId="77777777" w:rsidR="008360B5" w:rsidRPr="002432A5" w:rsidRDefault="008360B5" w:rsidP="008360B5">
            <w:pPr>
              <w:jc w:val="both"/>
              <w:rPr>
                <w:sz w:val="12"/>
                <w:szCs w:val="12"/>
              </w:rPr>
            </w:pPr>
          </w:p>
          <w:p w14:paraId="13A1C043" w14:textId="77777777" w:rsidR="008360B5" w:rsidRPr="002432A5" w:rsidRDefault="008360B5" w:rsidP="008360B5">
            <w:pPr>
              <w:jc w:val="both"/>
            </w:pPr>
            <w:r w:rsidRPr="002432A5">
              <w:t xml:space="preserve">Programme d’études dans </w:t>
            </w:r>
            <w:r w:rsidRPr="00577082">
              <w:t xml:space="preserve">lequel les personnes étudiantes </w:t>
            </w:r>
            <w:r w:rsidRPr="002432A5">
              <w:t xml:space="preserve">ont en alternance des stages d’étude et de travail, soit un emploi rémunéré chez </w:t>
            </w:r>
            <w:r w:rsidRPr="00D041EB">
              <w:t>un employeur</w:t>
            </w:r>
            <w:r w:rsidRPr="002432A5">
              <w:t>, de la supervision/encadrement.</w:t>
            </w:r>
          </w:p>
          <w:p w14:paraId="0B3A1A18" w14:textId="77777777" w:rsidR="008360B5" w:rsidRDefault="008360B5" w:rsidP="008360B5">
            <w:pPr>
              <w:jc w:val="both"/>
            </w:pPr>
          </w:p>
        </w:tc>
      </w:tr>
      <w:tr w:rsidR="008360B5" w14:paraId="40921E31" w14:textId="77777777" w:rsidTr="008360B5">
        <w:tc>
          <w:tcPr>
            <w:tcW w:w="1812" w:type="dxa"/>
          </w:tcPr>
          <w:p w14:paraId="67538B90" w14:textId="77777777" w:rsidR="008360B5" w:rsidRPr="00C74196" w:rsidRDefault="008360B5" w:rsidP="008360B5">
            <w:pPr>
              <w:jc w:val="both"/>
              <w:rPr>
                <w:b/>
                <w:sz w:val="12"/>
                <w:szCs w:val="12"/>
              </w:rPr>
            </w:pPr>
          </w:p>
          <w:p w14:paraId="76D918AE" w14:textId="0B1DF21A" w:rsidR="008360B5" w:rsidRPr="00C74196" w:rsidRDefault="008360B5" w:rsidP="008360B5">
            <w:pPr>
              <w:jc w:val="both"/>
              <w:rPr>
                <w:b/>
              </w:rPr>
            </w:pPr>
            <w:r w:rsidRPr="00C74196">
              <w:rPr>
                <w:b/>
              </w:rPr>
              <w:t>Formation pratique/clinique</w:t>
            </w:r>
          </w:p>
        </w:tc>
        <w:tc>
          <w:tcPr>
            <w:tcW w:w="6834" w:type="dxa"/>
          </w:tcPr>
          <w:p w14:paraId="16DD7A4F" w14:textId="77777777" w:rsidR="008360B5" w:rsidRPr="002432A5" w:rsidRDefault="008360B5" w:rsidP="008360B5">
            <w:pPr>
              <w:jc w:val="both"/>
              <w:rPr>
                <w:sz w:val="12"/>
                <w:szCs w:val="12"/>
              </w:rPr>
            </w:pPr>
          </w:p>
          <w:p w14:paraId="49A9D847" w14:textId="3BC476BE" w:rsidR="008360B5" w:rsidRDefault="008360B5" w:rsidP="008360B5">
            <w:pPr>
              <w:jc w:val="both"/>
            </w:pPr>
            <w:r w:rsidRPr="002432A5">
              <w:t>Comprend</w:t>
            </w:r>
            <w:r w:rsidR="00775A53">
              <w:t>s</w:t>
            </w:r>
            <w:r w:rsidRPr="002432A5">
              <w:t xml:space="preserve"> une expérience de travail pratique, sous la supervision d’un professionnel. Ce peut être un élément autonome ou intégré à un cours, pour lequel il y a une évaluation et une note. Il peut être obligatoire ou non.</w:t>
            </w:r>
          </w:p>
          <w:p w14:paraId="0194B28B" w14:textId="77777777" w:rsidR="008360B5" w:rsidRDefault="008360B5" w:rsidP="008360B5">
            <w:pPr>
              <w:jc w:val="both"/>
            </w:pPr>
          </w:p>
        </w:tc>
      </w:tr>
      <w:tr w:rsidR="008360B5" w14:paraId="4752D425" w14:textId="77777777" w:rsidTr="008360B5">
        <w:tc>
          <w:tcPr>
            <w:tcW w:w="1812" w:type="dxa"/>
          </w:tcPr>
          <w:p w14:paraId="540522E4" w14:textId="77777777" w:rsidR="008360B5" w:rsidRPr="00C74196" w:rsidRDefault="008360B5" w:rsidP="008360B5">
            <w:pPr>
              <w:jc w:val="both"/>
              <w:rPr>
                <w:b/>
                <w:sz w:val="12"/>
                <w:szCs w:val="12"/>
              </w:rPr>
            </w:pPr>
          </w:p>
          <w:p w14:paraId="409D1146" w14:textId="641865EF" w:rsidR="008360B5" w:rsidRPr="00C74196" w:rsidRDefault="008360B5" w:rsidP="008360B5">
            <w:pPr>
              <w:jc w:val="both"/>
              <w:rPr>
                <w:b/>
              </w:rPr>
            </w:pPr>
            <w:r w:rsidRPr="00C74196">
              <w:rPr>
                <w:b/>
              </w:rPr>
              <w:t>Apprentissage par le service</w:t>
            </w:r>
          </w:p>
        </w:tc>
        <w:tc>
          <w:tcPr>
            <w:tcW w:w="6834" w:type="dxa"/>
          </w:tcPr>
          <w:p w14:paraId="170B6B40" w14:textId="77777777" w:rsidR="008360B5" w:rsidRPr="002432A5" w:rsidRDefault="008360B5" w:rsidP="008360B5">
            <w:pPr>
              <w:jc w:val="both"/>
              <w:rPr>
                <w:sz w:val="12"/>
                <w:szCs w:val="12"/>
              </w:rPr>
            </w:pPr>
          </w:p>
          <w:p w14:paraId="2C1E3F88" w14:textId="77777777" w:rsidR="008360B5" w:rsidRDefault="008360B5" w:rsidP="008360B5">
            <w:pPr>
              <w:jc w:val="both"/>
            </w:pPr>
            <w:r w:rsidRPr="002432A5">
              <w:t xml:space="preserve">Expérience bénévole au sein d’un </w:t>
            </w:r>
            <w:r w:rsidRPr="00D041EB">
              <w:t>organisme communautaire</w:t>
            </w:r>
            <w:r>
              <w:t xml:space="preserve">, pour lequel </w:t>
            </w:r>
            <w:r w:rsidRPr="00577082">
              <w:t xml:space="preserve">la personne étudiante </w:t>
            </w:r>
            <w:r w:rsidRPr="002432A5">
              <w:t>apporte une contribution spécifique à l’</w:t>
            </w:r>
            <w:r w:rsidRPr="00D041EB">
              <w:t>organisme</w:t>
            </w:r>
            <w:r w:rsidRPr="002432A5">
              <w:t xml:space="preserve"> et/ou à la collectivité; normalement un élément de cours.</w:t>
            </w:r>
          </w:p>
          <w:p w14:paraId="64AC76B4" w14:textId="77777777" w:rsidR="008360B5" w:rsidRDefault="008360B5" w:rsidP="008360B5">
            <w:pPr>
              <w:jc w:val="both"/>
            </w:pPr>
          </w:p>
        </w:tc>
      </w:tr>
      <w:tr w:rsidR="008360B5" w14:paraId="2DCBC83E" w14:textId="77777777" w:rsidTr="008360B5">
        <w:tc>
          <w:tcPr>
            <w:tcW w:w="1812" w:type="dxa"/>
          </w:tcPr>
          <w:p w14:paraId="1F78109C" w14:textId="77777777" w:rsidR="008360B5" w:rsidRPr="00C74196" w:rsidRDefault="008360B5" w:rsidP="008360B5">
            <w:pPr>
              <w:jc w:val="both"/>
              <w:rPr>
                <w:b/>
                <w:sz w:val="12"/>
                <w:szCs w:val="12"/>
              </w:rPr>
            </w:pPr>
          </w:p>
          <w:p w14:paraId="5C220018" w14:textId="77777777" w:rsidR="008360B5" w:rsidRDefault="008360B5" w:rsidP="008360B5">
            <w:r w:rsidRPr="00C74196">
              <w:rPr>
                <w:b/>
              </w:rPr>
              <w:t xml:space="preserve">Parascolaire </w:t>
            </w:r>
          </w:p>
          <w:p w14:paraId="1F6A873E" w14:textId="77777777" w:rsidR="008360B5" w:rsidRPr="00C74196" w:rsidRDefault="008360B5" w:rsidP="008360B5">
            <w:r>
              <w:t>L</w:t>
            </w:r>
            <w:r w:rsidRPr="00C74196">
              <w:t>es catégories de développement dans ce domaine seront</w:t>
            </w:r>
            <w:r>
              <w:t xml:space="preserve"> propres à chaque établissement</w:t>
            </w:r>
          </w:p>
          <w:p w14:paraId="4FA179D7" w14:textId="584DB9A2" w:rsidR="008360B5" w:rsidRPr="00C74196" w:rsidRDefault="008360B5" w:rsidP="008360B5">
            <w:pPr>
              <w:jc w:val="both"/>
              <w:rPr>
                <w:b/>
              </w:rPr>
            </w:pPr>
          </w:p>
        </w:tc>
        <w:tc>
          <w:tcPr>
            <w:tcW w:w="6834" w:type="dxa"/>
          </w:tcPr>
          <w:p w14:paraId="54D305ED" w14:textId="77777777" w:rsidR="008360B5" w:rsidRPr="00AA5FE9" w:rsidRDefault="008360B5" w:rsidP="008360B5">
            <w:pPr>
              <w:jc w:val="both"/>
              <w:rPr>
                <w:sz w:val="12"/>
                <w:szCs w:val="12"/>
              </w:rPr>
            </w:pPr>
          </w:p>
          <w:p w14:paraId="3E973BFA" w14:textId="3FFFF039" w:rsidR="008360B5" w:rsidRPr="00AA5FE9" w:rsidRDefault="008360B5" w:rsidP="008360B5">
            <w:pPr>
              <w:jc w:val="both"/>
            </w:pPr>
            <w:r w:rsidRPr="00AA5FE9">
              <w:t>Cette catégorie peut comprendre (entre autres) des éléments t</w:t>
            </w:r>
            <w:r w:rsidR="00AA5FE9" w:rsidRPr="00AA5FE9">
              <w:t xml:space="preserve">els que la recherche appliquée, </w:t>
            </w:r>
            <w:r w:rsidR="00FF3717" w:rsidRPr="00AA5FE9">
              <w:t>la participation à une conférence professionnelle,</w:t>
            </w:r>
            <w:r w:rsidRPr="00AA5FE9">
              <w:t xml:space="preserve"> l’apprentissage en milieu communautaire, l’apprentissage parascolaire organisé ou d’autres formes d’apprentissage expérientiel qui adhèrent aux principes de la </w:t>
            </w:r>
            <w:r w:rsidRPr="00AA5FE9">
              <w:rPr>
                <w:i/>
              </w:rPr>
              <w:t xml:space="preserve">National Society for </w:t>
            </w:r>
            <w:proofErr w:type="spellStart"/>
            <w:r w:rsidRPr="00AA5FE9">
              <w:rPr>
                <w:i/>
              </w:rPr>
              <w:t>Experiential</w:t>
            </w:r>
            <w:proofErr w:type="spellEnd"/>
            <w:r w:rsidRPr="00AA5FE9">
              <w:rPr>
                <w:i/>
              </w:rPr>
              <w:t xml:space="preserve"> </w:t>
            </w:r>
            <w:proofErr w:type="spellStart"/>
            <w:r w:rsidRPr="00AA5FE9">
              <w:rPr>
                <w:i/>
              </w:rPr>
              <w:t>Education</w:t>
            </w:r>
            <w:proofErr w:type="spellEnd"/>
            <w:r w:rsidRPr="00AA5FE9">
              <w:t xml:space="preserve"> (</w:t>
            </w:r>
            <w:hyperlink r:id="rId10" w:history="1">
              <w:r w:rsidRPr="00AA5FE9">
                <w:rPr>
                  <w:rStyle w:val="Lienhypertexte"/>
                </w:rPr>
                <w:t>https://www.nsee.org/8-principles</w:t>
              </w:r>
            </w:hyperlink>
            <w:r w:rsidRPr="00AA5FE9">
              <w:t>).</w:t>
            </w:r>
            <w:r w:rsidR="00A72FA5" w:rsidRPr="00AA5FE9">
              <w:t xml:space="preserve"> </w:t>
            </w:r>
          </w:p>
          <w:p w14:paraId="00CC0440" w14:textId="77777777" w:rsidR="008360B5" w:rsidRPr="00AA5FE9" w:rsidRDefault="008360B5" w:rsidP="008360B5">
            <w:pPr>
              <w:jc w:val="both"/>
            </w:pPr>
          </w:p>
        </w:tc>
      </w:tr>
    </w:tbl>
    <w:p w14:paraId="765EA9C8" w14:textId="1818FB9A" w:rsidR="0049703E" w:rsidRPr="00EF2181" w:rsidRDefault="0049703E" w:rsidP="00C74196">
      <w:pPr>
        <w:spacing w:after="0" w:line="240" w:lineRule="auto"/>
        <w:jc w:val="both"/>
        <w:rPr>
          <w:b/>
        </w:rPr>
      </w:pPr>
    </w:p>
    <w:p w14:paraId="7A8A5FB1" w14:textId="45BE263B" w:rsidR="002561F1" w:rsidRDefault="002561F1">
      <w:pPr>
        <w:rPr>
          <w:b/>
          <w:sz w:val="24"/>
        </w:rPr>
      </w:pPr>
    </w:p>
    <w:p w14:paraId="7F1E4C8C" w14:textId="77777777" w:rsidR="004977D1" w:rsidRDefault="004977D1">
      <w:pPr>
        <w:rPr>
          <w:b/>
          <w:sz w:val="24"/>
        </w:rPr>
      </w:pPr>
    </w:p>
    <w:p w14:paraId="552C627A" w14:textId="6F5DBB2A" w:rsidR="00227C11" w:rsidRPr="007A19E0" w:rsidRDefault="00227C11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lastRenderedPageBreak/>
        <w:t>PROPOSITION</w:t>
      </w:r>
      <w:r w:rsidR="00476E76">
        <w:rPr>
          <w:b/>
          <w:sz w:val="26"/>
          <w:szCs w:val="26"/>
        </w:rPr>
        <w:t xml:space="preserve"> </w:t>
      </w:r>
    </w:p>
    <w:p w14:paraId="7A729F89" w14:textId="76502193" w:rsidR="007E058C" w:rsidRPr="00165023" w:rsidRDefault="007E058C" w:rsidP="007E058C">
      <w:pPr>
        <w:spacing w:after="0" w:line="240" w:lineRule="auto"/>
        <w:jc w:val="center"/>
        <w:rPr>
          <w:b/>
          <w:sz w:val="12"/>
          <w:szCs w:val="12"/>
        </w:rPr>
      </w:pPr>
    </w:p>
    <w:p w14:paraId="24552795" w14:textId="60586286" w:rsidR="00227C11" w:rsidRDefault="2C69F712" w:rsidP="00CF3DAA">
      <w:pPr>
        <w:spacing w:after="0" w:line="240" w:lineRule="auto"/>
        <w:jc w:val="both"/>
      </w:pPr>
      <w:r w:rsidRPr="00874E31">
        <w:rPr>
          <w:b/>
        </w:rPr>
        <w:t>Veuillez soumettre l’information suivante afin de proposer</w:t>
      </w:r>
      <w:r w:rsidR="00224593" w:rsidRPr="00874E31">
        <w:rPr>
          <w:b/>
        </w:rPr>
        <w:t xml:space="preserve"> votre projet dans le cadre du </w:t>
      </w:r>
      <w:r w:rsidR="00224593" w:rsidRPr="00476E76">
        <w:rPr>
          <w:b/>
        </w:rPr>
        <w:t>F</w:t>
      </w:r>
      <w:r w:rsidRPr="00476E76">
        <w:rPr>
          <w:b/>
        </w:rPr>
        <w:t xml:space="preserve">onds d’apprentissage expérientiel pour </w:t>
      </w:r>
      <w:r w:rsidR="00224593" w:rsidRPr="00476E76">
        <w:rPr>
          <w:b/>
        </w:rPr>
        <w:t>personnes étudiantes</w:t>
      </w:r>
      <w:r>
        <w:t>.</w:t>
      </w:r>
      <w:bookmarkStart w:id="0" w:name="_GoBack"/>
      <w:bookmarkEnd w:id="0"/>
    </w:p>
    <w:p w14:paraId="7ADD8D70" w14:textId="1E4B94EE" w:rsidR="00740CAB" w:rsidRDefault="00740CAB" w:rsidP="00CF3DAA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740CAB" w:rsidRPr="00C611B1" w14:paraId="4EF81DF8" w14:textId="77777777" w:rsidTr="00843D0A">
        <w:tc>
          <w:tcPr>
            <w:tcW w:w="8646" w:type="dxa"/>
            <w:shd w:val="clear" w:color="auto" w:fill="D9D9D9" w:themeFill="background1" w:themeFillShade="D9"/>
          </w:tcPr>
          <w:p w14:paraId="027EA121" w14:textId="210589A8" w:rsidR="00740CAB" w:rsidRPr="00EC68CC" w:rsidRDefault="00740CAB" w:rsidP="00843D0A">
            <w:pPr>
              <w:jc w:val="both"/>
            </w:pPr>
            <w:r w:rsidRPr="00EC68CC">
              <w:t xml:space="preserve">Coordonnées des personnes-ressources du partenaire sur le marché du travail impliquées dans le projet (le partenaire doit </w:t>
            </w:r>
            <w:r w:rsidR="00CA7FD5" w:rsidRPr="00EC68CC">
              <w:rPr>
                <w:rFonts w:cstheme="minorHAnsi"/>
              </w:rPr>
              <w:t>avoir été contacté et être en accord avec cette demande de financement</w:t>
            </w:r>
            <w:r w:rsidRPr="00EC68CC">
              <w:t>)</w:t>
            </w:r>
          </w:p>
        </w:tc>
      </w:tr>
      <w:tr w:rsidR="00740CAB" w:rsidRPr="00C611B1" w14:paraId="0EA4F264" w14:textId="77777777" w:rsidTr="00843D0A">
        <w:tc>
          <w:tcPr>
            <w:tcW w:w="8646" w:type="dxa"/>
          </w:tcPr>
          <w:p w14:paraId="1FA288AB" w14:textId="77777777" w:rsidR="00740CAB" w:rsidRPr="00EC68CC" w:rsidRDefault="00740CAB" w:rsidP="00843D0A">
            <w:pPr>
              <w:jc w:val="both"/>
            </w:pPr>
          </w:p>
          <w:p w14:paraId="3961BCDF" w14:textId="77777777" w:rsidR="00740CAB" w:rsidRPr="00EC68CC" w:rsidRDefault="00740CAB" w:rsidP="00843D0A">
            <w:pPr>
              <w:jc w:val="both"/>
            </w:pPr>
            <w:r w:rsidRPr="00EC68CC">
              <w:t>Nom :</w:t>
            </w:r>
          </w:p>
          <w:p w14:paraId="75978C0D" w14:textId="77777777" w:rsidR="00740CAB" w:rsidRPr="00EC68CC" w:rsidRDefault="00740CAB" w:rsidP="00843D0A">
            <w:pPr>
              <w:jc w:val="both"/>
            </w:pPr>
            <w:r w:rsidRPr="00EC68CC">
              <w:t>Poste :</w:t>
            </w:r>
          </w:p>
          <w:p w14:paraId="51E4D525" w14:textId="577BF09C" w:rsidR="00740CAB" w:rsidRPr="00EC68CC" w:rsidRDefault="00032561" w:rsidP="00843D0A">
            <w:pPr>
              <w:jc w:val="both"/>
            </w:pPr>
            <w:r w:rsidRPr="00EC68CC">
              <w:t>Entreprise ou organisme</w:t>
            </w:r>
            <w:r w:rsidR="00740CAB" w:rsidRPr="00EC68CC">
              <w:t> :</w:t>
            </w:r>
          </w:p>
          <w:p w14:paraId="52D1C12F" w14:textId="1D088620" w:rsidR="00740CAB" w:rsidRPr="00EC68CC" w:rsidRDefault="00740CAB" w:rsidP="00843D0A">
            <w:pPr>
              <w:jc w:val="both"/>
            </w:pPr>
            <w:r w:rsidRPr="00EC68CC">
              <w:t>Adresse :</w:t>
            </w:r>
          </w:p>
          <w:p w14:paraId="53ED129F" w14:textId="77777777" w:rsidR="00740CAB" w:rsidRPr="00EC68CC" w:rsidRDefault="00740CAB" w:rsidP="00843D0A">
            <w:pPr>
              <w:jc w:val="both"/>
            </w:pPr>
            <w:r w:rsidRPr="00EC68CC">
              <w:t>Téléphone :</w:t>
            </w:r>
          </w:p>
          <w:p w14:paraId="48F042D7" w14:textId="77777777" w:rsidR="00740CAB" w:rsidRPr="00EC68CC" w:rsidRDefault="00740CAB" w:rsidP="00843D0A">
            <w:pPr>
              <w:jc w:val="both"/>
            </w:pPr>
            <w:r w:rsidRPr="00EC68CC">
              <w:t>Courriel :</w:t>
            </w:r>
          </w:p>
          <w:p w14:paraId="4C09DCDA" w14:textId="77777777" w:rsidR="00032561" w:rsidRPr="00EC68CC" w:rsidRDefault="00032561" w:rsidP="00032561">
            <w:pPr>
              <w:jc w:val="both"/>
            </w:pPr>
            <w:r w:rsidRPr="00EC68CC">
              <w:t>Site web :</w:t>
            </w:r>
          </w:p>
          <w:p w14:paraId="44410D38" w14:textId="77777777" w:rsidR="00740CAB" w:rsidRPr="00EC68CC" w:rsidRDefault="00740CAB" w:rsidP="00843D0A">
            <w:pPr>
              <w:jc w:val="both"/>
            </w:pPr>
          </w:p>
        </w:tc>
      </w:tr>
    </w:tbl>
    <w:p w14:paraId="6D6586F0" w14:textId="12775AD7" w:rsidR="00740CAB" w:rsidRDefault="00740CAB" w:rsidP="00740CAB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740CAB" w14:paraId="105C7FDF" w14:textId="77777777" w:rsidTr="00843D0A">
        <w:tc>
          <w:tcPr>
            <w:tcW w:w="8646" w:type="dxa"/>
            <w:shd w:val="clear" w:color="auto" w:fill="D9D9D9" w:themeFill="background1" w:themeFillShade="D9"/>
          </w:tcPr>
          <w:p w14:paraId="6AF6926E" w14:textId="77777777" w:rsidR="00740CAB" w:rsidRDefault="00740CAB" w:rsidP="00843D0A">
            <w:pPr>
              <w:jc w:val="both"/>
            </w:pPr>
            <w:r>
              <w:t>Coordonnées des personnes étudiantes impliquées dans le projet</w:t>
            </w:r>
            <w:r w:rsidRPr="00E13A6F">
              <w:t>, si elles sont identifiées</w:t>
            </w:r>
          </w:p>
        </w:tc>
      </w:tr>
      <w:tr w:rsidR="00740CAB" w14:paraId="2C80AC0D" w14:textId="77777777" w:rsidTr="00843D0A">
        <w:tc>
          <w:tcPr>
            <w:tcW w:w="8646" w:type="dxa"/>
          </w:tcPr>
          <w:p w14:paraId="47A255DE" w14:textId="77777777" w:rsidR="00740CAB" w:rsidRDefault="00740CAB" w:rsidP="00843D0A">
            <w:pPr>
              <w:jc w:val="both"/>
            </w:pPr>
          </w:p>
          <w:p w14:paraId="39C506E8" w14:textId="77777777" w:rsidR="00740CAB" w:rsidRPr="00EC68CC" w:rsidRDefault="00740CAB" w:rsidP="00843D0A">
            <w:pPr>
              <w:jc w:val="both"/>
            </w:pPr>
            <w:r w:rsidRPr="00EC68CC">
              <w:t>Nom :</w:t>
            </w:r>
          </w:p>
          <w:p w14:paraId="56A6C347" w14:textId="6BF680FB" w:rsidR="00740CAB" w:rsidRPr="00EC68CC" w:rsidRDefault="00740CAB" w:rsidP="00843D0A">
            <w:pPr>
              <w:jc w:val="both"/>
            </w:pPr>
            <w:r w:rsidRPr="00EC68CC">
              <w:t>Titre du programme d’études </w:t>
            </w:r>
            <w:r w:rsidR="00E13A6F" w:rsidRPr="00EC68CC">
              <w:t>de premier cycle</w:t>
            </w:r>
            <w:r w:rsidR="00C37CFE" w:rsidRPr="00EC68CC">
              <w:t xml:space="preserve"> </w:t>
            </w:r>
            <w:r w:rsidRPr="00EC68CC">
              <w:t>:</w:t>
            </w:r>
          </w:p>
          <w:p w14:paraId="3941FADE" w14:textId="77777777" w:rsidR="00E13A6F" w:rsidRPr="00EC68CC" w:rsidRDefault="00E13A6F" w:rsidP="00E13A6F">
            <w:pPr>
              <w:jc w:val="both"/>
            </w:pPr>
            <w:r w:rsidRPr="00EC68CC">
              <w:t xml:space="preserve">Campus de l’Université de Moncton : </w:t>
            </w:r>
          </w:p>
          <w:p w14:paraId="569E6231" w14:textId="289AFD83" w:rsidR="00740CAB" w:rsidRPr="00EC68CC" w:rsidRDefault="00740CAB" w:rsidP="00E13A6F">
            <w:pPr>
              <w:jc w:val="both"/>
            </w:pPr>
            <w:r w:rsidRPr="00EC68CC">
              <w:t>Numéro étudiant :</w:t>
            </w:r>
          </w:p>
          <w:p w14:paraId="03477848" w14:textId="77777777" w:rsidR="00740CAB" w:rsidRPr="00EC68CC" w:rsidRDefault="00740CAB" w:rsidP="00843D0A">
            <w:pPr>
              <w:jc w:val="both"/>
            </w:pPr>
            <w:r w:rsidRPr="00EC68CC">
              <w:t>Téléphone :</w:t>
            </w:r>
          </w:p>
          <w:p w14:paraId="67DE2776" w14:textId="77777777" w:rsidR="00740CAB" w:rsidRDefault="00740CAB" w:rsidP="00843D0A">
            <w:pPr>
              <w:jc w:val="both"/>
            </w:pPr>
            <w:r w:rsidRPr="00EC68CC">
              <w:t>Courriel :</w:t>
            </w:r>
          </w:p>
          <w:p w14:paraId="509CDABF" w14:textId="77777777" w:rsidR="00740CAB" w:rsidRDefault="00740CAB" w:rsidP="00843D0A">
            <w:pPr>
              <w:jc w:val="both"/>
            </w:pPr>
          </w:p>
        </w:tc>
      </w:tr>
    </w:tbl>
    <w:p w14:paraId="7BADDAFA" w14:textId="29A2BF44" w:rsidR="006A5220" w:rsidRDefault="006A5220" w:rsidP="00890007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740CAB" w:rsidRPr="00C611B1" w14:paraId="6825D3DF" w14:textId="77777777" w:rsidTr="00843D0A">
        <w:tc>
          <w:tcPr>
            <w:tcW w:w="8646" w:type="dxa"/>
            <w:shd w:val="clear" w:color="auto" w:fill="D9D9D9" w:themeFill="background1" w:themeFillShade="D9"/>
          </w:tcPr>
          <w:p w14:paraId="58D46B50" w14:textId="77777777" w:rsidR="00740CAB" w:rsidRPr="00EC68CC" w:rsidRDefault="00740CAB" w:rsidP="00843D0A">
            <w:pPr>
              <w:jc w:val="both"/>
            </w:pPr>
            <w:r w:rsidRPr="00EC68CC">
              <w:t>Coordonnées des personnes-ressources de la faculté impliquées dans le projet, s’il y a lieu</w:t>
            </w:r>
          </w:p>
        </w:tc>
      </w:tr>
      <w:tr w:rsidR="00740CAB" w:rsidRPr="00C611B1" w14:paraId="2125CCA3" w14:textId="77777777" w:rsidTr="00843D0A">
        <w:tc>
          <w:tcPr>
            <w:tcW w:w="8646" w:type="dxa"/>
          </w:tcPr>
          <w:p w14:paraId="0E3DFCDD" w14:textId="77777777" w:rsidR="00740CAB" w:rsidRPr="00EC68CC" w:rsidRDefault="00740CAB" w:rsidP="00843D0A">
            <w:pPr>
              <w:jc w:val="both"/>
            </w:pPr>
          </w:p>
          <w:p w14:paraId="7B1A5E82" w14:textId="77777777" w:rsidR="00740CAB" w:rsidRPr="00EC68CC" w:rsidRDefault="00740CAB" w:rsidP="00843D0A">
            <w:pPr>
              <w:jc w:val="both"/>
            </w:pPr>
            <w:r w:rsidRPr="00EC68CC">
              <w:t>Nom :</w:t>
            </w:r>
          </w:p>
          <w:p w14:paraId="3DA89238" w14:textId="77777777" w:rsidR="00740CAB" w:rsidRPr="00EC68CC" w:rsidRDefault="00740CAB" w:rsidP="00843D0A">
            <w:pPr>
              <w:jc w:val="both"/>
            </w:pPr>
            <w:r w:rsidRPr="00EC68CC">
              <w:t>Poste :</w:t>
            </w:r>
          </w:p>
          <w:p w14:paraId="06FE44E4" w14:textId="77777777" w:rsidR="00740CAB" w:rsidRPr="00EC68CC" w:rsidRDefault="00740CAB" w:rsidP="00843D0A">
            <w:pPr>
              <w:jc w:val="both"/>
            </w:pPr>
            <w:r w:rsidRPr="00EC68CC">
              <w:t>Faculté :</w:t>
            </w:r>
          </w:p>
          <w:p w14:paraId="63A58A6F" w14:textId="43A0E307" w:rsidR="00740CAB" w:rsidRPr="00EC68CC" w:rsidRDefault="00740CAB" w:rsidP="00843D0A">
            <w:pPr>
              <w:jc w:val="both"/>
            </w:pPr>
            <w:r w:rsidRPr="00EC68CC">
              <w:t>Adresse :</w:t>
            </w:r>
          </w:p>
          <w:p w14:paraId="60BCB996" w14:textId="77777777" w:rsidR="00740CAB" w:rsidRPr="00EC68CC" w:rsidRDefault="00740CAB" w:rsidP="00843D0A">
            <w:pPr>
              <w:jc w:val="both"/>
            </w:pPr>
            <w:r w:rsidRPr="00EC68CC">
              <w:t>Téléphone :</w:t>
            </w:r>
          </w:p>
          <w:p w14:paraId="43289399" w14:textId="77777777" w:rsidR="00740CAB" w:rsidRPr="00EC68CC" w:rsidRDefault="00740CAB" w:rsidP="00843D0A">
            <w:pPr>
              <w:jc w:val="both"/>
            </w:pPr>
            <w:r w:rsidRPr="00EC68CC">
              <w:t>Courriel :</w:t>
            </w:r>
          </w:p>
          <w:p w14:paraId="06B321D6" w14:textId="77777777" w:rsidR="00740CAB" w:rsidRPr="00EC68CC" w:rsidRDefault="00740CAB" w:rsidP="00843D0A">
            <w:pPr>
              <w:jc w:val="both"/>
            </w:pPr>
          </w:p>
        </w:tc>
      </w:tr>
    </w:tbl>
    <w:p w14:paraId="60B2BE74" w14:textId="73C0C7D8" w:rsidR="002F583C" w:rsidRPr="0060179C" w:rsidRDefault="002F583C" w:rsidP="002F583C">
      <w:pPr>
        <w:spacing w:after="0" w:line="240" w:lineRule="auto"/>
        <w:jc w:val="both"/>
        <w:rPr>
          <w:b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2F583C" w:rsidRPr="00C611B1" w14:paraId="17D1DD3F" w14:textId="77777777" w:rsidTr="00843D0A">
        <w:tc>
          <w:tcPr>
            <w:tcW w:w="8646" w:type="dxa"/>
            <w:shd w:val="clear" w:color="auto" w:fill="D9D9D9" w:themeFill="background1" w:themeFillShade="D9"/>
          </w:tcPr>
          <w:p w14:paraId="44414A72" w14:textId="60F3A9A0" w:rsidR="002F583C" w:rsidRPr="00C611B1" w:rsidRDefault="002F583C" w:rsidP="007E70BB">
            <w:pPr>
              <w:jc w:val="both"/>
            </w:pPr>
            <w:r w:rsidRPr="001D20DF">
              <w:t xml:space="preserve">Nombre </w:t>
            </w:r>
            <w:r>
              <w:t xml:space="preserve">de personnes étudiantes visées par le projet </w:t>
            </w:r>
            <w:r w:rsidRPr="00EC68CC">
              <w:t>et</w:t>
            </w:r>
            <w:r w:rsidR="007E70BB" w:rsidRPr="00EC68CC">
              <w:t xml:space="preserve"> le titre de</w:t>
            </w:r>
            <w:r w:rsidRPr="00EC68CC">
              <w:t xml:space="preserve"> leurs</w:t>
            </w:r>
            <w:r>
              <w:t xml:space="preserve"> programmes d’études</w:t>
            </w:r>
            <w:r w:rsidR="00C37CFE">
              <w:t xml:space="preserve"> </w:t>
            </w:r>
          </w:p>
        </w:tc>
      </w:tr>
      <w:tr w:rsidR="002F583C" w:rsidRPr="00C611B1" w14:paraId="4DA94E41" w14:textId="77777777" w:rsidTr="00843D0A">
        <w:tc>
          <w:tcPr>
            <w:tcW w:w="8646" w:type="dxa"/>
          </w:tcPr>
          <w:p w14:paraId="69216797" w14:textId="77777777" w:rsidR="002F583C" w:rsidRDefault="002F583C" w:rsidP="00843D0A">
            <w:pPr>
              <w:jc w:val="both"/>
            </w:pPr>
          </w:p>
          <w:p w14:paraId="4190046A" w14:textId="77777777" w:rsidR="002F583C" w:rsidRDefault="002F583C" w:rsidP="00843D0A">
            <w:pPr>
              <w:jc w:val="both"/>
            </w:pPr>
          </w:p>
          <w:p w14:paraId="4D063A50" w14:textId="77777777" w:rsidR="002F583C" w:rsidRDefault="002F583C" w:rsidP="00843D0A">
            <w:pPr>
              <w:jc w:val="both"/>
            </w:pPr>
          </w:p>
          <w:p w14:paraId="7B5E3B35" w14:textId="09C19682" w:rsidR="002F583C" w:rsidRDefault="002F583C" w:rsidP="00843D0A">
            <w:pPr>
              <w:jc w:val="both"/>
            </w:pPr>
          </w:p>
          <w:p w14:paraId="6912604E" w14:textId="77777777" w:rsidR="002F583C" w:rsidRDefault="002F583C" w:rsidP="00843D0A">
            <w:pPr>
              <w:jc w:val="both"/>
            </w:pPr>
          </w:p>
          <w:p w14:paraId="4C7DD3FB" w14:textId="77777777" w:rsidR="002F583C" w:rsidRDefault="002F583C" w:rsidP="00843D0A">
            <w:pPr>
              <w:jc w:val="both"/>
            </w:pPr>
          </w:p>
          <w:p w14:paraId="5B3987C5" w14:textId="77777777" w:rsidR="00165023" w:rsidRDefault="00165023" w:rsidP="00843D0A">
            <w:pPr>
              <w:jc w:val="both"/>
            </w:pPr>
          </w:p>
          <w:p w14:paraId="01059171" w14:textId="5D95E9DC" w:rsidR="00165023" w:rsidRPr="00C611B1" w:rsidRDefault="00165023" w:rsidP="00843D0A">
            <w:pPr>
              <w:jc w:val="both"/>
            </w:pPr>
          </w:p>
        </w:tc>
      </w:tr>
      <w:tr w:rsidR="00C611B1" w14:paraId="1753ECA6" w14:textId="77777777" w:rsidTr="2C69F712">
        <w:tc>
          <w:tcPr>
            <w:tcW w:w="8646" w:type="dxa"/>
            <w:shd w:val="clear" w:color="auto" w:fill="D9D9D9" w:themeFill="background1" w:themeFillShade="D9"/>
          </w:tcPr>
          <w:p w14:paraId="196A1FD5" w14:textId="31D3CB52" w:rsidR="00C611B1" w:rsidRDefault="00C611B1" w:rsidP="00F76449">
            <w:pPr>
              <w:jc w:val="both"/>
              <w:rPr>
                <w:highlight w:val="yellow"/>
              </w:rPr>
            </w:pPr>
            <w:r w:rsidRPr="00C611B1">
              <w:lastRenderedPageBreak/>
              <w:t>Courte description du projet</w:t>
            </w:r>
            <w:r w:rsidR="0021747E">
              <w:t xml:space="preserve"> </w:t>
            </w:r>
            <w:r w:rsidR="0021747E" w:rsidRPr="0051557E">
              <w:t xml:space="preserve">– veuillez faire </w:t>
            </w:r>
            <w:r w:rsidR="0051557E">
              <w:t>la démonstration de lien direct</w:t>
            </w:r>
            <w:r w:rsidR="0021747E" w:rsidRPr="0051557E">
              <w:t xml:space="preserve"> ou complémentaire </w:t>
            </w:r>
            <w:r w:rsidR="00F76449">
              <w:t>au</w:t>
            </w:r>
            <w:r w:rsidR="0021747E" w:rsidRPr="0051557E">
              <w:t xml:space="preserve"> programme d’études</w:t>
            </w:r>
            <w:r w:rsidRPr="0051557E">
              <w:t xml:space="preserve"> </w:t>
            </w:r>
            <w:r w:rsidR="00AE3D30" w:rsidRPr="0051557E">
              <w:t>(</w:t>
            </w:r>
            <w:r w:rsidR="0021747E" w:rsidRPr="0051557E">
              <w:t>une page maximum</w:t>
            </w:r>
            <w:r w:rsidR="00AE3D30" w:rsidRPr="0051557E">
              <w:t>)</w:t>
            </w:r>
          </w:p>
        </w:tc>
      </w:tr>
      <w:tr w:rsidR="00C611B1" w14:paraId="65702114" w14:textId="77777777" w:rsidTr="2C69F712">
        <w:tc>
          <w:tcPr>
            <w:tcW w:w="8646" w:type="dxa"/>
          </w:tcPr>
          <w:p w14:paraId="0FB678FC" w14:textId="77777777" w:rsidR="00C611B1" w:rsidRDefault="00C611B1" w:rsidP="000D1565">
            <w:pPr>
              <w:jc w:val="both"/>
              <w:rPr>
                <w:highlight w:val="yellow"/>
              </w:rPr>
            </w:pPr>
          </w:p>
          <w:p w14:paraId="15DC4651" w14:textId="1E0725E7" w:rsidR="00C611B1" w:rsidRDefault="00C611B1" w:rsidP="000D1565">
            <w:pPr>
              <w:jc w:val="both"/>
              <w:rPr>
                <w:highlight w:val="yellow"/>
              </w:rPr>
            </w:pPr>
          </w:p>
          <w:p w14:paraId="1345CF0F" w14:textId="77777777" w:rsidR="009C1A1E" w:rsidRDefault="009C1A1E" w:rsidP="000D1565">
            <w:pPr>
              <w:jc w:val="both"/>
              <w:rPr>
                <w:highlight w:val="yellow"/>
              </w:rPr>
            </w:pPr>
          </w:p>
          <w:p w14:paraId="4A62926A" w14:textId="77777777" w:rsidR="00C611B1" w:rsidRDefault="00C611B1" w:rsidP="000D1565">
            <w:pPr>
              <w:jc w:val="both"/>
              <w:rPr>
                <w:highlight w:val="yellow"/>
              </w:rPr>
            </w:pPr>
          </w:p>
          <w:p w14:paraId="6058141D" w14:textId="77777777" w:rsidR="00C611B1" w:rsidRDefault="00C611B1" w:rsidP="000D1565">
            <w:pPr>
              <w:jc w:val="both"/>
              <w:rPr>
                <w:highlight w:val="yellow"/>
              </w:rPr>
            </w:pPr>
          </w:p>
          <w:p w14:paraId="7516D15D" w14:textId="7DEAC05F" w:rsidR="00C611B1" w:rsidRDefault="00C611B1" w:rsidP="000D1565">
            <w:pPr>
              <w:jc w:val="both"/>
              <w:rPr>
                <w:highlight w:val="yellow"/>
              </w:rPr>
            </w:pPr>
          </w:p>
          <w:p w14:paraId="31E2FA18" w14:textId="65525F54" w:rsidR="00C611B1" w:rsidRDefault="00C611B1" w:rsidP="000D1565">
            <w:pPr>
              <w:jc w:val="both"/>
              <w:rPr>
                <w:highlight w:val="yellow"/>
              </w:rPr>
            </w:pPr>
          </w:p>
          <w:p w14:paraId="24201287" w14:textId="53604F69" w:rsidR="00C611B1" w:rsidRDefault="00C611B1" w:rsidP="000D1565">
            <w:pPr>
              <w:jc w:val="both"/>
              <w:rPr>
                <w:highlight w:val="yellow"/>
              </w:rPr>
            </w:pPr>
          </w:p>
          <w:p w14:paraId="30D34AA2" w14:textId="46BFF6CB" w:rsidR="00C611B1" w:rsidRDefault="00C611B1" w:rsidP="000D1565">
            <w:pPr>
              <w:jc w:val="both"/>
              <w:rPr>
                <w:highlight w:val="yellow"/>
              </w:rPr>
            </w:pPr>
          </w:p>
          <w:p w14:paraId="4D6BAC93" w14:textId="52D7BF92" w:rsidR="00C611B1" w:rsidRDefault="00C611B1" w:rsidP="000D1565">
            <w:pPr>
              <w:jc w:val="both"/>
              <w:rPr>
                <w:highlight w:val="yellow"/>
              </w:rPr>
            </w:pPr>
          </w:p>
          <w:p w14:paraId="39DD2B11" w14:textId="5A6B9FEF" w:rsidR="00C611B1" w:rsidRDefault="00C611B1" w:rsidP="000D1565">
            <w:pPr>
              <w:jc w:val="both"/>
              <w:rPr>
                <w:highlight w:val="yellow"/>
              </w:rPr>
            </w:pPr>
          </w:p>
          <w:p w14:paraId="6DE37275" w14:textId="77777777" w:rsidR="00C611B1" w:rsidRDefault="00C611B1" w:rsidP="000D1565">
            <w:pPr>
              <w:jc w:val="both"/>
              <w:rPr>
                <w:highlight w:val="yellow"/>
              </w:rPr>
            </w:pPr>
          </w:p>
          <w:p w14:paraId="1EFD1DEA" w14:textId="77777777" w:rsidR="00C611B1" w:rsidRDefault="00C611B1" w:rsidP="000D1565">
            <w:pPr>
              <w:jc w:val="both"/>
              <w:rPr>
                <w:highlight w:val="yellow"/>
              </w:rPr>
            </w:pPr>
          </w:p>
          <w:p w14:paraId="78CB7B01" w14:textId="74B0F785" w:rsidR="00C611B1" w:rsidRDefault="00C611B1" w:rsidP="000D1565">
            <w:pPr>
              <w:jc w:val="both"/>
              <w:rPr>
                <w:highlight w:val="yellow"/>
              </w:rPr>
            </w:pPr>
          </w:p>
          <w:p w14:paraId="33A715F5" w14:textId="1603B626" w:rsidR="00AE3D30" w:rsidRDefault="00AE3D30" w:rsidP="000D1565">
            <w:pPr>
              <w:jc w:val="both"/>
              <w:rPr>
                <w:highlight w:val="yellow"/>
              </w:rPr>
            </w:pPr>
          </w:p>
          <w:p w14:paraId="128F0FC3" w14:textId="77777777" w:rsidR="00AE3D30" w:rsidRDefault="00AE3D30" w:rsidP="000D1565">
            <w:pPr>
              <w:jc w:val="both"/>
              <w:rPr>
                <w:highlight w:val="yellow"/>
              </w:rPr>
            </w:pPr>
          </w:p>
          <w:p w14:paraId="28B99323" w14:textId="13729FD1" w:rsidR="00C611B1" w:rsidRDefault="00C611B1" w:rsidP="000D1565">
            <w:pPr>
              <w:jc w:val="both"/>
              <w:rPr>
                <w:highlight w:val="yellow"/>
              </w:rPr>
            </w:pPr>
          </w:p>
          <w:p w14:paraId="2F69C170" w14:textId="77CDCC5C" w:rsidR="00AE3D30" w:rsidRDefault="00AE3D30" w:rsidP="000D1565">
            <w:pPr>
              <w:jc w:val="both"/>
              <w:rPr>
                <w:highlight w:val="yellow"/>
              </w:rPr>
            </w:pPr>
          </w:p>
          <w:p w14:paraId="2D25E686" w14:textId="37D7C08D" w:rsidR="00AE3D30" w:rsidRDefault="00AE3D30" w:rsidP="000D1565">
            <w:pPr>
              <w:jc w:val="both"/>
              <w:rPr>
                <w:highlight w:val="yellow"/>
              </w:rPr>
            </w:pPr>
          </w:p>
          <w:p w14:paraId="6B02C40D" w14:textId="6C38CFBA" w:rsidR="00AE3D30" w:rsidRDefault="00AE3D30" w:rsidP="000D1565">
            <w:pPr>
              <w:jc w:val="both"/>
              <w:rPr>
                <w:highlight w:val="yellow"/>
              </w:rPr>
            </w:pPr>
          </w:p>
          <w:p w14:paraId="5A860F79" w14:textId="0CB0D31C" w:rsidR="00AE3D30" w:rsidRDefault="00AE3D30" w:rsidP="000D1565">
            <w:pPr>
              <w:jc w:val="both"/>
              <w:rPr>
                <w:highlight w:val="yellow"/>
              </w:rPr>
            </w:pPr>
          </w:p>
          <w:p w14:paraId="769F836E" w14:textId="4226217C" w:rsidR="00AE3D30" w:rsidRDefault="00AE3D30" w:rsidP="000D1565">
            <w:pPr>
              <w:jc w:val="both"/>
              <w:rPr>
                <w:highlight w:val="yellow"/>
              </w:rPr>
            </w:pPr>
          </w:p>
          <w:p w14:paraId="4BDF788C" w14:textId="586A6EB7" w:rsidR="0051557E" w:rsidRDefault="0051557E" w:rsidP="000D1565">
            <w:pPr>
              <w:jc w:val="both"/>
              <w:rPr>
                <w:highlight w:val="yellow"/>
              </w:rPr>
            </w:pPr>
          </w:p>
          <w:p w14:paraId="062652E0" w14:textId="0BBBD5B7" w:rsidR="0051557E" w:rsidRDefault="0051557E" w:rsidP="000D1565">
            <w:pPr>
              <w:jc w:val="both"/>
              <w:rPr>
                <w:highlight w:val="yellow"/>
              </w:rPr>
            </w:pPr>
          </w:p>
          <w:p w14:paraId="7F9EE32A" w14:textId="31A02334" w:rsidR="0051557E" w:rsidRDefault="0051557E" w:rsidP="2C69F712">
            <w:pPr>
              <w:jc w:val="both"/>
              <w:rPr>
                <w:highlight w:val="yellow"/>
              </w:rPr>
            </w:pPr>
          </w:p>
          <w:p w14:paraId="3D7BF547" w14:textId="1ACE13F2" w:rsidR="0051557E" w:rsidRDefault="0051557E" w:rsidP="2C69F712">
            <w:pPr>
              <w:jc w:val="both"/>
              <w:rPr>
                <w:highlight w:val="yellow"/>
              </w:rPr>
            </w:pPr>
          </w:p>
          <w:p w14:paraId="0A60BECB" w14:textId="6DEB30A4" w:rsidR="2C69F712" w:rsidRDefault="2C69F712" w:rsidP="2C69F712">
            <w:pPr>
              <w:jc w:val="both"/>
              <w:rPr>
                <w:highlight w:val="yellow"/>
              </w:rPr>
            </w:pPr>
          </w:p>
          <w:p w14:paraId="167A5029" w14:textId="0FA95D26" w:rsidR="2C69F712" w:rsidRDefault="2C69F712" w:rsidP="2C69F712">
            <w:pPr>
              <w:jc w:val="both"/>
              <w:rPr>
                <w:highlight w:val="yellow"/>
              </w:rPr>
            </w:pPr>
          </w:p>
          <w:p w14:paraId="6EDFF5D7" w14:textId="65309BAE" w:rsidR="002C7B4F" w:rsidRDefault="002C7B4F" w:rsidP="000D1565">
            <w:pPr>
              <w:jc w:val="both"/>
              <w:rPr>
                <w:highlight w:val="yellow"/>
              </w:rPr>
            </w:pPr>
          </w:p>
          <w:p w14:paraId="14D15AD9" w14:textId="65B1BDBD" w:rsidR="002F583C" w:rsidRDefault="002F583C" w:rsidP="000D1565">
            <w:pPr>
              <w:jc w:val="both"/>
              <w:rPr>
                <w:highlight w:val="yellow"/>
              </w:rPr>
            </w:pPr>
          </w:p>
          <w:p w14:paraId="6EC8E29C" w14:textId="43DC685A" w:rsidR="002F583C" w:rsidRDefault="002F583C" w:rsidP="000D1565">
            <w:pPr>
              <w:jc w:val="both"/>
              <w:rPr>
                <w:highlight w:val="yellow"/>
              </w:rPr>
            </w:pPr>
          </w:p>
          <w:p w14:paraId="799C1C22" w14:textId="55513870" w:rsidR="002F583C" w:rsidRDefault="002F583C" w:rsidP="000D1565">
            <w:pPr>
              <w:jc w:val="both"/>
              <w:rPr>
                <w:highlight w:val="yellow"/>
              </w:rPr>
            </w:pPr>
          </w:p>
          <w:p w14:paraId="27EEFBF4" w14:textId="76514C16" w:rsidR="002F583C" w:rsidRDefault="002F583C" w:rsidP="000D1565">
            <w:pPr>
              <w:jc w:val="both"/>
              <w:rPr>
                <w:highlight w:val="yellow"/>
              </w:rPr>
            </w:pPr>
          </w:p>
          <w:p w14:paraId="27E0E80C" w14:textId="399357A1" w:rsidR="002F583C" w:rsidRDefault="002F583C" w:rsidP="000D1565">
            <w:pPr>
              <w:jc w:val="both"/>
              <w:rPr>
                <w:highlight w:val="yellow"/>
              </w:rPr>
            </w:pPr>
          </w:p>
          <w:p w14:paraId="64959F11" w14:textId="5B022596" w:rsidR="002F583C" w:rsidRDefault="002F583C" w:rsidP="000D1565">
            <w:pPr>
              <w:jc w:val="both"/>
              <w:rPr>
                <w:highlight w:val="yellow"/>
              </w:rPr>
            </w:pPr>
          </w:p>
          <w:p w14:paraId="7C68CB19" w14:textId="6EF0793E" w:rsidR="002F583C" w:rsidRDefault="002F583C" w:rsidP="000D1565">
            <w:pPr>
              <w:jc w:val="both"/>
              <w:rPr>
                <w:highlight w:val="yellow"/>
              </w:rPr>
            </w:pPr>
          </w:p>
          <w:p w14:paraId="1A682F22" w14:textId="1F3C7BCD" w:rsidR="002F583C" w:rsidRDefault="002F583C" w:rsidP="000D1565">
            <w:pPr>
              <w:jc w:val="both"/>
              <w:rPr>
                <w:highlight w:val="yellow"/>
              </w:rPr>
            </w:pPr>
          </w:p>
          <w:p w14:paraId="6E6623CA" w14:textId="398E9A37" w:rsidR="002F583C" w:rsidRDefault="002F583C" w:rsidP="000D1565">
            <w:pPr>
              <w:jc w:val="both"/>
              <w:rPr>
                <w:highlight w:val="yellow"/>
              </w:rPr>
            </w:pPr>
          </w:p>
          <w:p w14:paraId="2EBEFA9D" w14:textId="25AF3539" w:rsidR="002F583C" w:rsidRDefault="002F583C" w:rsidP="000D1565">
            <w:pPr>
              <w:jc w:val="both"/>
              <w:rPr>
                <w:highlight w:val="yellow"/>
              </w:rPr>
            </w:pPr>
          </w:p>
          <w:p w14:paraId="4D998015" w14:textId="78F16489" w:rsidR="002F583C" w:rsidRDefault="002F583C" w:rsidP="000D1565">
            <w:pPr>
              <w:jc w:val="both"/>
              <w:rPr>
                <w:highlight w:val="yellow"/>
              </w:rPr>
            </w:pPr>
          </w:p>
          <w:p w14:paraId="5FAAC98A" w14:textId="17F784F7" w:rsidR="002F583C" w:rsidRDefault="002F583C" w:rsidP="000D1565">
            <w:pPr>
              <w:jc w:val="both"/>
              <w:rPr>
                <w:highlight w:val="yellow"/>
              </w:rPr>
            </w:pPr>
          </w:p>
          <w:p w14:paraId="0DB4C403" w14:textId="1C588B8E" w:rsidR="002F583C" w:rsidRDefault="002F583C" w:rsidP="000D1565">
            <w:pPr>
              <w:jc w:val="both"/>
              <w:rPr>
                <w:highlight w:val="yellow"/>
              </w:rPr>
            </w:pPr>
          </w:p>
          <w:p w14:paraId="0BEE7D83" w14:textId="52F710B1" w:rsidR="002F583C" w:rsidRDefault="002F583C" w:rsidP="000D1565">
            <w:pPr>
              <w:jc w:val="both"/>
              <w:rPr>
                <w:highlight w:val="yellow"/>
              </w:rPr>
            </w:pPr>
          </w:p>
          <w:p w14:paraId="6B483934" w14:textId="77777777" w:rsidR="002F583C" w:rsidRDefault="002F583C" w:rsidP="000D1565">
            <w:pPr>
              <w:jc w:val="both"/>
              <w:rPr>
                <w:highlight w:val="yellow"/>
              </w:rPr>
            </w:pPr>
          </w:p>
          <w:p w14:paraId="0CD10013" w14:textId="77777777" w:rsidR="00C611B1" w:rsidRDefault="00C611B1" w:rsidP="000D1565">
            <w:pPr>
              <w:jc w:val="both"/>
              <w:rPr>
                <w:highlight w:val="yellow"/>
              </w:rPr>
            </w:pPr>
          </w:p>
          <w:p w14:paraId="09AA4D9C" w14:textId="562FA7A4" w:rsidR="00047525" w:rsidRDefault="00047525" w:rsidP="000D1565">
            <w:pPr>
              <w:jc w:val="both"/>
              <w:rPr>
                <w:highlight w:val="yellow"/>
              </w:rPr>
            </w:pPr>
          </w:p>
        </w:tc>
      </w:tr>
      <w:tr w:rsidR="00224593" w:rsidRPr="00C611B1" w14:paraId="70413869" w14:textId="77777777" w:rsidTr="00E12338">
        <w:tc>
          <w:tcPr>
            <w:tcW w:w="8646" w:type="dxa"/>
            <w:shd w:val="clear" w:color="auto" w:fill="D9D9D9" w:themeFill="background1" w:themeFillShade="D9"/>
          </w:tcPr>
          <w:p w14:paraId="661289E6" w14:textId="77777777" w:rsidR="00224593" w:rsidRPr="00C611B1" w:rsidRDefault="00224593" w:rsidP="00E12338">
            <w:pPr>
              <w:jc w:val="both"/>
            </w:pPr>
            <w:r w:rsidRPr="00C611B1">
              <w:lastRenderedPageBreak/>
              <w:t>Résultats</w:t>
            </w:r>
            <w:r>
              <w:t xml:space="preserve"> d’apprentissage envisagés</w:t>
            </w:r>
            <w:r w:rsidRPr="00C611B1">
              <w:t xml:space="preserve"> </w:t>
            </w:r>
          </w:p>
        </w:tc>
      </w:tr>
      <w:tr w:rsidR="00224593" w:rsidRPr="00C611B1" w14:paraId="7C0574F4" w14:textId="77777777" w:rsidTr="00E12338">
        <w:tc>
          <w:tcPr>
            <w:tcW w:w="8646" w:type="dxa"/>
          </w:tcPr>
          <w:p w14:paraId="111DF7A7" w14:textId="77777777" w:rsidR="00224593" w:rsidRDefault="00224593" w:rsidP="00E12338">
            <w:pPr>
              <w:jc w:val="both"/>
            </w:pPr>
          </w:p>
          <w:p w14:paraId="45B27D89" w14:textId="77777777" w:rsidR="00224593" w:rsidRDefault="00224593" w:rsidP="00E12338">
            <w:pPr>
              <w:jc w:val="both"/>
            </w:pPr>
          </w:p>
          <w:p w14:paraId="2DD82BAE" w14:textId="31837923" w:rsidR="00224593" w:rsidRDefault="00224593" w:rsidP="00E12338">
            <w:pPr>
              <w:jc w:val="both"/>
            </w:pPr>
          </w:p>
          <w:p w14:paraId="5910841B" w14:textId="77777777" w:rsidR="00224593" w:rsidRDefault="00224593" w:rsidP="00E12338">
            <w:pPr>
              <w:jc w:val="both"/>
            </w:pPr>
          </w:p>
          <w:p w14:paraId="69A8EE1A" w14:textId="77777777" w:rsidR="00224593" w:rsidRDefault="00224593" w:rsidP="00E12338">
            <w:pPr>
              <w:jc w:val="both"/>
            </w:pPr>
          </w:p>
          <w:p w14:paraId="10C343AC" w14:textId="77777777" w:rsidR="00224593" w:rsidRDefault="00224593" w:rsidP="00E12338">
            <w:pPr>
              <w:jc w:val="both"/>
            </w:pPr>
          </w:p>
          <w:p w14:paraId="2E07EA5D" w14:textId="77777777" w:rsidR="00224593" w:rsidRDefault="00224593" w:rsidP="00E12338">
            <w:pPr>
              <w:jc w:val="both"/>
            </w:pPr>
          </w:p>
          <w:p w14:paraId="69C3D292" w14:textId="77777777" w:rsidR="00224593" w:rsidRDefault="00224593" w:rsidP="00E12338">
            <w:pPr>
              <w:jc w:val="both"/>
            </w:pPr>
          </w:p>
          <w:p w14:paraId="351EBE2B" w14:textId="77777777" w:rsidR="00224593" w:rsidRDefault="00224593" w:rsidP="00E12338">
            <w:pPr>
              <w:jc w:val="both"/>
            </w:pPr>
          </w:p>
          <w:p w14:paraId="4D892080" w14:textId="77777777" w:rsidR="00224593" w:rsidRDefault="00224593" w:rsidP="00E12338">
            <w:pPr>
              <w:jc w:val="both"/>
            </w:pPr>
          </w:p>
          <w:p w14:paraId="0B7F5EC2" w14:textId="77777777" w:rsidR="00224593" w:rsidRDefault="00224593" w:rsidP="00E12338">
            <w:pPr>
              <w:jc w:val="both"/>
            </w:pPr>
          </w:p>
          <w:p w14:paraId="00E76852" w14:textId="218F1942" w:rsidR="00224593" w:rsidRDefault="00224593" w:rsidP="00E12338">
            <w:pPr>
              <w:jc w:val="both"/>
            </w:pPr>
          </w:p>
          <w:p w14:paraId="09C8AC75" w14:textId="537F3391" w:rsidR="00614130" w:rsidRDefault="00614130" w:rsidP="00E12338">
            <w:pPr>
              <w:jc w:val="both"/>
            </w:pPr>
          </w:p>
          <w:p w14:paraId="51EA1751" w14:textId="688733EB" w:rsidR="00614130" w:rsidRDefault="00614130" w:rsidP="00E12338">
            <w:pPr>
              <w:jc w:val="both"/>
            </w:pPr>
          </w:p>
          <w:p w14:paraId="39C38BB2" w14:textId="0BE838B8" w:rsidR="00614130" w:rsidRDefault="00614130" w:rsidP="00E12338">
            <w:pPr>
              <w:jc w:val="both"/>
            </w:pPr>
          </w:p>
          <w:p w14:paraId="00B6B334" w14:textId="486C618E" w:rsidR="00224593" w:rsidRPr="00C611B1" w:rsidRDefault="00224593" w:rsidP="00E12338">
            <w:pPr>
              <w:jc w:val="both"/>
            </w:pPr>
          </w:p>
        </w:tc>
      </w:tr>
    </w:tbl>
    <w:p w14:paraId="4861DCC9" w14:textId="5DB67CCA" w:rsidR="00227C11" w:rsidRDefault="00227C11" w:rsidP="00D230BE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9C1A1E" w:rsidRPr="00C611B1" w14:paraId="12E2226B" w14:textId="77777777" w:rsidTr="62988D35">
        <w:tc>
          <w:tcPr>
            <w:tcW w:w="8646" w:type="dxa"/>
            <w:shd w:val="clear" w:color="auto" w:fill="D9D9D9" w:themeFill="background1" w:themeFillShade="D9"/>
          </w:tcPr>
          <w:p w14:paraId="2FCAD1DF" w14:textId="5343373B" w:rsidR="009C1A1E" w:rsidRPr="00EC68CC" w:rsidRDefault="00890F1B" w:rsidP="000D1565">
            <w:pPr>
              <w:jc w:val="both"/>
            </w:pPr>
            <w:r w:rsidRPr="00EC68CC">
              <w:t>D</w:t>
            </w:r>
            <w:r w:rsidR="00AE3D30" w:rsidRPr="00EC68CC">
              <w:t xml:space="preserve">urée </w:t>
            </w:r>
            <w:r w:rsidR="009C1A1E" w:rsidRPr="00EC68CC">
              <w:t xml:space="preserve">du projet  </w:t>
            </w:r>
          </w:p>
        </w:tc>
      </w:tr>
      <w:tr w:rsidR="009C1A1E" w:rsidRPr="00C611B1" w14:paraId="4FE069A9" w14:textId="77777777" w:rsidTr="62988D35">
        <w:tc>
          <w:tcPr>
            <w:tcW w:w="8646" w:type="dxa"/>
          </w:tcPr>
          <w:p w14:paraId="084F2483" w14:textId="77777777" w:rsidR="009C1A1E" w:rsidRPr="00EC68CC" w:rsidRDefault="009C1A1E" w:rsidP="000D1565">
            <w:pPr>
              <w:jc w:val="both"/>
            </w:pPr>
          </w:p>
          <w:p w14:paraId="7F26E5EF" w14:textId="3CE86D3B" w:rsidR="00F71E98" w:rsidRPr="00EC68CC" w:rsidRDefault="00890F1B" w:rsidP="000D1565">
            <w:pPr>
              <w:jc w:val="both"/>
            </w:pPr>
            <w:r w:rsidRPr="00EC68CC">
              <w:t>Date de début</w:t>
            </w:r>
            <w:r w:rsidR="002354C7" w:rsidRPr="00EC68CC">
              <w:t xml:space="preserve"> (au plus tôt le 6</w:t>
            </w:r>
            <w:r w:rsidR="00604B93" w:rsidRPr="00EC68CC">
              <w:t xml:space="preserve"> mai 2019)</w:t>
            </w:r>
            <w:r w:rsidRPr="00EC68CC">
              <w:t> :</w:t>
            </w:r>
          </w:p>
          <w:p w14:paraId="3BB33871" w14:textId="77777777" w:rsidR="00007799" w:rsidRPr="00EC68CC" w:rsidRDefault="00007799" w:rsidP="000D1565">
            <w:pPr>
              <w:jc w:val="both"/>
            </w:pPr>
          </w:p>
          <w:p w14:paraId="7C9376FF" w14:textId="70504AEA" w:rsidR="00890F1B" w:rsidRPr="00EC68CC" w:rsidRDefault="00890F1B" w:rsidP="000D1565">
            <w:pPr>
              <w:jc w:val="both"/>
            </w:pPr>
            <w:r w:rsidRPr="00EC68CC">
              <w:t>Date de fin</w:t>
            </w:r>
            <w:r w:rsidR="002354C7" w:rsidRPr="00EC68CC">
              <w:t xml:space="preserve"> (au plus tard le 31</w:t>
            </w:r>
            <w:r w:rsidR="00604B93" w:rsidRPr="00EC68CC">
              <w:t xml:space="preserve"> août 2019)</w:t>
            </w:r>
            <w:r w:rsidRPr="00EC68CC">
              <w:t> :</w:t>
            </w:r>
          </w:p>
          <w:p w14:paraId="5356E9EB" w14:textId="77777777" w:rsidR="00007799" w:rsidRPr="00EC68CC" w:rsidRDefault="00007799" w:rsidP="000D1565">
            <w:pPr>
              <w:jc w:val="both"/>
            </w:pPr>
          </w:p>
          <w:p w14:paraId="0858377B" w14:textId="0ED11FFC" w:rsidR="00890F1B" w:rsidRPr="00EC68CC" w:rsidRDefault="00890F1B" w:rsidP="000D1565">
            <w:pPr>
              <w:jc w:val="both"/>
            </w:pPr>
            <w:r w:rsidRPr="00EC68CC">
              <w:t>Nombre de semaines </w:t>
            </w:r>
            <w:r w:rsidR="00007799" w:rsidRPr="00EC68CC">
              <w:t>(maximum de 16</w:t>
            </w:r>
            <w:r w:rsidR="00604B93" w:rsidRPr="00EC68CC">
              <w:t xml:space="preserve"> semaines) </w:t>
            </w:r>
            <w:r w:rsidRPr="00EC68CC">
              <w:t>:</w:t>
            </w:r>
          </w:p>
          <w:p w14:paraId="07C4D094" w14:textId="77777777" w:rsidR="00007799" w:rsidRPr="00EC68CC" w:rsidRDefault="00007799" w:rsidP="000D1565">
            <w:pPr>
              <w:jc w:val="both"/>
            </w:pPr>
          </w:p>
          <w:p w14:paraId="645A5B68" w14:textId="60CCE41C" w:rsidR="00890F1B" w:rsidRPr="00EC68CC" w:rsidRDefault="00890F1B" w:rsidP="000D1565">
            <w:pPr>
              <w:jc w:val="both"/>
            </w:pPr>
            <w:r w:rsidRPr="00EC68CC">
              <w:t>Nombre d’heures en moyenne par semaine </w:t>
            </w:r>
            <w:r w:rsidR="00007799" w:rsidRPr="00EC68CC">
              <w:t>(maximum de 35</w:t>
            </w:r>
            <w:r w:rsidR="00604B93" w:rsidRPr="00EC68CC">
              <w:t xml:space="preserve"> heures) </w:t>
            </w:r>
            <w:r w:rsidRPr="00EC68CC">
              <w:t>:</w:t>
            </w:r>
          </w:p>
          <w:p w14:paraId="2F57FD02" w14:textId="77777777" w:rsidR="00007799" w:rsidRPr="00EC68CC" w:rsidRDefault="00007799" w:rsidP="000D1565">
            <w:pPr>
              <w:jc w:val="both"/>
            </w:pPr>
          </w:p>
          <w:p w14:paraId="631F8985" w14:textId="6614646E" w:rsidR="00890F1B" w:rsidRPr="00EC68CC" w:rsidRDefault="00890F1B" w:rsidP="000D1565">
            <w:pPr>
              <w:jc w:val="both"/>
            </w:pPr>
            <w:r w:rsidRPr="00EC68CC">
              <w:t>Nombre total d’heures pour la durée du projet</w:t>
            </w:r>
            <w:r w:rsidR="00007799" w:rsidRPr="00EC68CC">
              <w:t xml:space="preserve"> (maximum de 560</w:t>
            </w:r>
            <w:r w:rsidR="00604B93" w:rsidRPr="00EC68CC">
              <w:t xml:space="preserve"> heures)</w:t>
            </w:r>
            <w:r w:rsidRPr="00EC68CC">
              <w:t> :</w:t>
            </w:r>
          </w:p>
          <w:p w14:paraId="12CFFB17" w14:textId="3ECC2F4D" w:rsidR="0060179C" w:rsidRPr="00EC68CC" w:rsidRDefault="0060179C" w:rsidP="000D1565">
            <w:pPr>
              <w:jc w:val="both"/>
            </w:pPr>
          </w:p>
        </w:tc>
      </w:tr>
    </w:tbl>
    <w:p w14:paraId="314FCED5" w14:textId="2D40A4E5" w:rsidR="2C69F712" w:rsidRDefault="2C69F712" w:rsidP="2C69F712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2C69F712" w14:paraId="567B3E0F" w14:textId="77777777" w:rsidTr="62988D35">
        <w:tc>
          <w:tcPr>
            <w:tcW w:w="8646" w:type="dxa"/>
            <w:shd w:val="clear" w:color="auto" w:fill="D9D9D9" w:themeFill="background1" w:themeFillShade="D9"/>
          </w:tcPr>
          <w:p w14:paraId="7C392AC7" w14:textId="1335BB12" w:rsidR="2C69F712" w:rsidRDefault="00A5555C" w:rsidP="00890F1B">
            <w:pPr>
              <w:jc w:val="both"/>
            </w:pPr>
            <w:r>
              <w:t>C</w:t>
            </w:r>
            <w:r w:rsidR="2C69F712">
              <w:t>on</w:t>
            </w:r>
            <w:r w:rsidR="001B5FF8">
              <w:t xml:space="preserve">tribution </w:t>
            </w:r>
            <w:r w:rsidR="2C69F712">
              <w:t>de l’</w:t>
            </w:r>
            <w:r w:rsidR="00D041EB">
              <w:t>organisme ou de l’</w:t>
            </w:r>
            <w:r w:rsidR="00504EDB">
              <w:t>employeur</w:t>
            </w:r>
            <w:r>
              <w:t xml:space="preserve"> </w:t>
            </w:r>
          </w:p>
        </w:tc>
      </w:tr>
      <w:tr w:rsidR="2C69F712" w14:paraId="58A1794E" w14:textId="77777777" w:rsidTr="62988D35">
        <w:tc>
          <w:tcPr>
            <w:tcW w:w="8646" w:type="dxa"/>
          </w:tcPr>
          <w:p w14:paraId="61F3D3F2" w14:textId="77777777" w:rsidR="2C69F712" w:rsidRDefault="2C69F712" w:rsidP="2C69F712">
            <w:pPr>
              <w:jc w:val="both"/>
            </w:pPr>
          </w:p>
          <w:p w14:paraId="5153B336" w14:textId="0FFD41CE" w:rsidR="2C69F712" w:rsidRPr="0027571B" w:rsidRDefault="00890F1B" w:rsidP="2C69F712">
            <w:pPr>
              <w:jc w:val="both"/>
            </w:pPr>
            <w:r w:rsidRPr="0027571B">
              <w:t>Subvention salariale :</w:t>
            </w:r>
          </w:p>
          <w:p w14:paraId="01D22A85" w14:textId="77777777" w:rsidR="0027571B" w:rsidRPr="0027571B" w:rsidRDefault="0027571B" w:rsidP="2C69F712">
            <w:pPr>
              <w:jc w:val="both"/>
            </w:pPr>
          </w:p>
          <w:p w14:paraId="7EF4BC97" w14:textId="5B2ADA77" w:rsidR="00890F1B" w:rsidRPr="0027571B" w:rsidRDefault="00890F1B" w:rsidP="2C69F712">
            <w:pPr>
              <w:jc w:val="both"/>
            </w:pPr>
            <w:r w:rsidRPr="0027571B">
              <w:t>Contribution financière :</w:t>
            </w:r>
          </w:p>
          <w:p w14:paraId="160BE904" w14:textId="77777777" w:rsidR="0027571B" w:rsidRPr="0027571B" w:rsidRDefault="0027571B" w:rsidP="2C69F712">
            <w:pPr>
              <w:jc w:val="both"/>
            </w:pPr>
          </w:p>
          <w:p w14:paraId="09113061" w14:textId="72F4DB1E" w:rsidR="00890F1B" w:rsidRPr="0027571B" w:rsidRDefault="00890F1B" w:rsidP="2C69F712">
            <w:pPr>
              <w:jc w:val="both"/>
            </w:pPr>
            <w:r w:rsidRPr="0027571B">
              <w:t>Matériel :</w:t>
            </w:r>
          </w:p>
          <w:p w14:paraId="36870077" w14:textId="77777777" w:rsidR="0027571B" w:rsidRPr="0027571B" w:rsidRDefault="0027571B" w:rsidP="2C69F712">
            <w:pPr>
              <w:jc w:val="both"/>
            </w:pPr>
          </w:p>
          <w:p w14:paraId="0C5BE7DB" w14:textId="3BBA3243" w:rsidR="00890F1B" w:rsidRPr="0027571B" w:rsidRDefault="00890F1B" w:rsidP="2C69F712">
            <w:pPr>
              <w:jc w:val="both"/>
            </w:pPr>
            <w:r w:rsidRPr="0027571B">
              <w:t>Encadrement :</w:t>
            </w:r>
          </w:p>
          <w:p w14:paraId="7126FAEB" w14:textId="77777777" w:rsidR="0027571B" w:rsidRPr="0027571B" w:rsidRDefault="0027571B" w:rsidP="2C69F712">
            <w:pPr>
              <w:jc w:val="both"/>
            </w:pPr>
          </w:p>
          <w:p w14:paraId="7FF43669" w14:textId="77695085" w:rsidR="2C69F712" w:rsidRDefault="00890F1B" w:rsidP="2C69F712">
            <w:pPr>
              <w:jc w:val="both"/>
            </w:pPr>
            <w:r w:rsidRPr="0027571B">
              <w:t>Autres :</w:t>
            </w:r>
          </w:p>
          <w:p w14:paraId="40C65863" w14:textId="77777777" w:rsidR="2C69F712" w:rsidRDefault="2C69F712" w:rsidP="2C69F712">
            <w:pPr>
              <w:jc w:val="both"/>
            </w:pPr>
          </w:p>
        </w:tc>
      </w:tr>
    </w:tbl>
    <w:p w14:paraId="14891C5A" w14:textId="7A4019C9" w:rsidR="2C69F712" w:rsidRDefault="2C69F712" w:rsidP="2C69F712">
      <w:pPr>
        <w:spacing w:after="0" w:line="240" w:lineRule="auto"/>
        <w:jc w:val="both"/>
      </w:pPr>
    </w:p>
    <w:p w14:paraId="082A1C40" w14:textId="4DCE92DC" w:rsidR="009463DC" w:rsidRDefault="009463DC" w:rsidP="2C69F712">
      <w:pPr>
        <w:spacing w:after="0" w:line="240" w:lineRule="auto"/>
        <w:jc w:val="both"/>
      </w:pPr>
    </w:p>
    <w:p w14:paraId="08E4E488" w14:textId="5C76F97A" w:rsidR="00614130" w:rsidRDefault="00614130" w:rsidP="2C69F712">
      <w:pPr>
        <w:spacing w:after="0" w:line="240" w:lineRule="auto"/>
        <w:jc w:val="both"/>
      </w:pPr>
    </w:p>
    <w:p w14:paraId="5B4DA34C" w14:textId="77777777" w:rsidR="00614130" w:rsidRDefault="00614130" w:rsidP="2C69F712">
      <w:pPr>
        <w:spacing w:after="0" w:line="240" w:lineRule="auto"/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412"/>
        <w:gridCol w:w="3117"/>
        <w:gridCol w:w="3117"/>
      </w:tblGrid>
      <w:tr w:rsidR="009463DC" w14:paraId="2FC75778" w14:textId="77777777" w:rsidTr="009463DC">
        <w:tc>
          <w:tcPr>
            <w:tcW w:w="8646" w:type="dxa"/>
            <w:gridSpan w:val="3"/>
            <w:shd w:val="clear" w:color="auto" w:fill="D9D9D9" w:themeFill="background1" w:themeFillShade="D9"/>
          </w:tcPr>
          <w:p w14:paraId="1C77821D" w14:textId="60296D04" w:rsidR="009463DC" w:rsidRPr="00EC68CC" w:rsidRDefault="00454E95" w:rsidP="2C69F712">
            <w:pPr>
              <w:jc w:val="both"/>
            </w:pPr>
            <w:r w:rsidRPr="00EC68CC">
              <w:lastRenderedPageBreak/>
              <w:t>Budget nécessaire demandé</w:t>
            </w:r>
            <w:r w:rsidR="009463DC" w:rsidRPr="00EC68CC">
              <w:t xml:space="preserve"> pour l’exécution du projet</w:t>
            </w:r>
            <w:r w:rsidR="00585857" w:rsidRPr="00EC68CC">
              <w:t xml:space="preserve"> </w:t>
            </w:r>
            <w:r w:rsidR="00585857" w:rsidRPr="00EC68CC">
              <w:rPr>
                <w:b/>
              </w:rPr>
              <w:t>(voir Annexe A)</w:t>
            </w:r>
          </w:p>
        </w:tc>
      </w:tr>
      <w:tr w:rsidR="009463DC" w14:paraId="6173B11F" w14:textId="77777777" w:rsidTr="009463DC">
        <w:tc>
          <w:tcPr>
            <w:tcW w:w="2412" w:type="dxa"/>
          </w:tcPr>
          <w:p w14:paraId="62D1DBFB" w14:textId="77777777" w:rsidR="008F3B90" w:rsidRPr="00EC68CC" w:rsidRDefault="008F3B90" w:rsidP="008F3B90">
            <w:pPr>
              <w:jc w:val="center"/>
              <w:rPr>
                <w:b/>
                <w:sz w:val="12"/>
                <w:szCs w:val="12"/>
              </w:rPr>
            </w:pPr>
          </w:p>
          <w:p w14:paraId="26FE519A" w14:textId="373ADDE2" w:rsidR="008F3B90" w:rsidRPr="00EC68CC" w:rsidRDefault="00396F42" w:rsidP="008F3B90">
            <w:pPr>
              <w:jc w:val="center"/>
              <w:rPr>
                <w:b/>
              </w:rPr>
            </w:pPr>
            <w:r w:rsidRPr="00EC68CC">
              <w:rPr>
                <w:b/>
              </w:rPr>
              <w:t>Catégorie</w:t>
            </w:r>
          </w:p>
          <w:p w14:paraId="0D7374A2" w14:textId="54324142" w:rsidR="009463DC" w:rsidRPr="00EC68CC" w:rsidRDefault="009463DC" w:rsidP="008F3B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7" w:type="dxa"/>
          </w:tcPr>
          <w:p w14:paraId="30142330" w14:textId="77777777" w:rsidR="008F3B90" w:rsidRPr="00EC68CC" w:rsidRDefault="008F3B90" w:rsidP="008F3B90">
            <w:pPr>
              <w:jc w:val="center"/>
              <w:rPr>
                <w:b/>
                <w:sz w:val="12"/>
                <w:szCs w:val="12"/>
              </w:rPr>
            </w:pPr>
          </w:p>
          <w:p w14:paraId="214E1CC2" w14:textId="4EC67F72" w:rsidR="009463DC" w:rsidRPr="00EC68CC" w:rsidRDefault="002F6AD7" w:rsidP="008F3B90">
            <w:pPr>
              <w:jc w:val="center"/>
              <w:rPr>
                <w:b/>
              </w:rPr>
            </w:pPr>
            <w:r w:rsidRPr="00EC68CC">
              <w:rPr>
                <w:b/>
              </w:rPr>
              <w:t>Commentaires</w:t>
            </w:r>
          </w:p>
        </w:tc>
        <w:tc>
          <w:tcPr>
            <w:tcW w:w="3117" w:type="dxa"/>
          </w:tcPr>
          <w:p w14:paraId="2D7A87F2" w14:textId="77777777" w:rsidR="008F3B90" w:rsidRPr="00EC68CC" w:rsidRDefault="008F3B90" w:rsidP="008F3B90">
            <w:pPr>
              <w:jc w:val="center"/>
              <w:rPr>
                <w:b/>
                <w:sz w:val="12"/>
                <w:szCs w:val="12"/>
              </w:rPr>
            </w:pPr>
          </w:p>
          <w:p w14:paraId="4CB1F0E7" w14:textId="7B47528A" w:rsidR="009463DC" w:rsidRPr="00EC68CC" w:rsidRDefault="002F6AD7" w:rsidP="008F3B90">
            <w:pPr>
              <w:jc w:val="center"/>
              <w:rPr>
                <w:b/>
              </w:rPr>
            </w:pPr>
            <w:r w:rsidRPr="00EC68CC">
              <w:rPr>
                <w:b/>
              </w:rPr>
              <w:t>Montant</w:t>
            </w:r>
            <w:r w:rsidR="00862EA2" w:rsidRPr="00EC68CC">
              <w:rPr>
                <w:b/>
              </w:rPr>
              <w:t xml:space="preserve"> total</w:t>
            </w:r>
          </w:p>
        </w:tc>
      </w:tr>
      <w:tr w:rsidR="009463DC" w14:paraId="7E087B34" w14:textId="77777777" w:rsidTr="009463DC">
        <w:tc>
          <w:tcPr>
            <w:tcW w:w="2412" w:type="dxa"/>
          </w:tcPr>
          <w:p w14:paraId="00FA956A" w14:textId="77777777" w:rsidR="00BA46FA" w:rsidRPr="00EC68CC" w:rsidRDefault="00BA46FA" w:rsidP="009463DC">
            <w:pPr>
              <w:jc w:val="both"/>
            </w:pPr>
          </w:p>
          <w:p w14:paraId="48F7DC55" w14:textId="34F6F3FA" w:rsidR="009463DC" w:rsidRPr="00EC68CC" w:rsidRDefault="009463DC" w:rsidP="009463DC">
            <w:pPr>
              <w:jc w:val="both"/>
            </w:pPr>
            <w:r w:rsidRPr="00EC68CC">
              <w:t xml:space="preserve">Subvention salariale </w:t>
            </w:r>
          </w:p>
          <w:p w14:paraId="2E5EDEFC" w14:textId="77777777" w:rsidR="009463DC" w:rsidRPr="00EC68CC" w:rsidRDefault="009463DC" w:rsidP="008F35FC">
            <w:pPr>
              <w:jc w:val="both"/>
            </w:pPr>
          </w:p>
        </w:tc>
        <w:tc>
          <w:tcPr>
            <w:tcW w:w="3117" w:type="dxa"/>
          </w:tcPr>
          <w:p w14:paraId="089D3288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240A6C6C" w14:textId="77777777" w:rsidR="00862EA2" w:rsidRPr="00EC68CC" w:rsidRDefault="00862EA2" w:rsidP="006848AD">
            <w:pPr>
              <w:jc w:val="right"/>
            </w:pPr>
          </w:p>
          <w:p w14:paraId="11A83BBD" w14:textId="7AF8560F" w:rsidR="009463DC" w:rsidRPr="00EC68CC" w:rsidRDefault="00862EA2" w:rsidP="006848AD">
            <w:pPr>
              <w:jc w:val="right"/>
            </w:pPr>
            <w:r w:rsidRPr="00EC68CC">
              <w:t>$</w:t>
            </w:r>
          </w:p>
        </w:tc>
      </w:tr>
      <w:tr w:rsidR="009463DC" w14:paraId="7167940D" w14:textId="77777777" w:rsidTr="009463DC">
        <w:tc>
          <w:tcPr>
            <w:tcW w:w="2412" w:type="dxa"/>
          </w:tcPr>
          <w:p w14:paraId="1CD9C353" w14:textId="77777777" w:rsidR="00D4734F" w:rsidRPr="00EC68CC" w:rsidRDefault="00D4734F" w:rsidP="009463DC">
            <w:pPr>
              <w:jc w:val="both"/>
            </w:pPr>
          </w:p>
          <w:p w14:paraId="2CAE0766" w14:textId="290FA49F" w:rsidR="009463DC" w:rsidRPr="00EC68CC" w:rsidRDefault="009463DC" w:rsidP="009463DC">
            <w:pPr>
              <w:jc w:val="both"/>
            </w:pPr>
            <w:r w:rsidRPr="00EC68CC">
              <w:t xml:space="preserve">Logement </w:t>
            </w:r>
          </w:p>
          <w:p w14:paraId="266B66EA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0157DD94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58192831" w14:textId="77777777" w:rsidR="00D1532B" w:rsidRPr="00EC68CC" w:rsidRDefault="00D1532B" w:rsidP="006848AD">
            <w:pPr>
              <w:jc w:val="right"/>
            </w:pPr>
          </w:p>
          <w:p w14:paraId="22DC1D95" w14:textId="689931D2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9463DC" w14:paraId="6C3BB948" w14:textId="77777777" w:rsidTr="009463DC">
        <w:tc>
          <w:tcPr>
            <w:tcW w:w="2412" w:type="dxa"/>
          </w:tcPr>
          <w:p w14:paraId="02686E86" w14:textId="77777777" w:rsidR="00D4734F" w:rsidRPr="00EC68CC" w:rsidRDefault="00D4734F" w:rsidP="009463DC">
            <w:pPr>
              <w:jc w:val="both"/>
            </w:pPr>
          </w:p>
          <w:p w14:paraId="236D3BEF" w14:textId="77C08124" w:rsidR="009463DC" w:rsidRPr="00EC68CC" w:rsidRDefault="009463DC" w:rsidP="009463DC">
            <w:pPr>
              <w:jc w:val="both"/>
            </w:pPr>
            <w:r w:rsidRPr="00EC68CC">
              <w:t xml:space="preserve">Frais de déplacement </w:t>
            </w:r>
          </w:p>
          <w:p w14:paraId="2DA7A189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12ECC8BC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260B6E01" w14:textId="77777777" w:rsidR="00D1532B" w:rsidRPr="00EC68CC" w:rsidRDefault="00D1532B" w:rsidP="006848AD">
            <w:pPr>
              <w:jc w:val="right"/>
            </w:pPr>
          </w:p>
          <w:p w14:paraId="20DD7E1C" w14:textId="090F2BAE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9463DC" w14:paraId="0D345862" w14:textId="77777777" w:rsidTr="009463DC">
        <w:tc>
          <w:tcPr>
            <w:tcW w:w="2412" w:type="dxa"/>
          </w:tcPr>
          <w:p w14:paraId="7E7E3580" w14:textId="77777777" w:rsidR="00D4734F" w:rsidRPr="00EC68CC" w:rsidRDefault="00D4734F" w:rsidP="009463DC">
            <w:pPr>
              <w:jc w:val="both"/>
            </w:pPr>
          </w:p>
          <w:p w14:paraId="0D89702D" w14:textId="6A2FD85A" w:rsidR="009463DC" w:rsidRPr="00EC68CC" w:rsidRDefault="009463DC" w:rsidP="009463DC">
            <w:pPr>
              <w:jc w:val="both"/>
            </w:pPr>
            <w:r w:rsidRPr="00EC68CC">
              <w:t xml:space="preserve">Matériel </w:t>
            </w:r>
          </w:p>
          <w:p w14:paraId="4A3FF970" w14:textId="33B04D12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13512850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58333D58" w14:textId="77777777" w:rsidR="00D1532B" w:rsidRPr="00EC68CC" w:rsidRDefault="00D1532B" w:rsidP="006848AD">
            <w:pPr>
              <w:jc w:val="right"/>
            </w:pPr>
          </w:p>
          <w:p w14:paraId="2B844ABF" w14:textId="32EA0E4C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9463DC" w14:paraId="71272706" w14:textId="77777777" w:rsidTr="009463DC">
        <w:tc>
          <w:tcPr>
            <w:tcW w:w="2412" w:type="dxa"/>
          </w:tcPr>
          <w:p w14:paraId="6ECA44E4" w14:textId="77777777" w:rsidR="00D4734F" w:rsidRPr="00EC68CC" w:rsidRDefault="00D4734F" w:rsidP="009463DC">
            <w:pPr>
              <w:jc w:val="both"/>
            </w:pPr>
          </w:p>
          <w:p w14:paraId="6E7AF637" w14:textId="63525D6E" w:rsidR="002F6AD7" w:rsidRPr="00EC68CC" w:rsidRDefault="002F6AD7" w:rsidP="009463DC">
            <w:pPr>
              <w:jc w:val="both"/>
            </w:pPr>
            <w:r w:rsidRPr="00EC68CC">
              <w:t>Formation </w:t>
            </w:r>
          </w:p>
          <w:p w14:paraId="2C2F56A8" w14:textId="2F050419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2F1C4792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17CF3F1C" w14:textId="77777777" w:rsidR="00D1532B" w:rsidRPr="00EC68CC" w:rsidRDefault="00D1532B" w:rsidP="006848AD">
            <w:pPr>
              <w:jc w:val="right"/>
            </w:pPr>
          </w:p>
          <w:p w14:paraId="6AF26C07" w14:textId="3CD022AE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9463DC" w14:paraId="79E3B1AC" w14:textId="77777777" w:rsidTr="009463DC">
        <w:tc>
          <w:tcPr>
            <w:tcW w:w="2412" w:type="dxa"/>
          </w:tcPr>
          <w:p w14:paraId="5E920BD4" w14:textId="77777777" w:rsidR="00D4734F" w:rsidRPr="00EC68CC" w:rsidRDefault="00D4734F" w:rsidP="002F6AD7">
            <w:pPr>
              <w:jc w:val="both"/>
            </w:pPr>
          </w:p>
          <w:p w14:paraId="285CFDF4" w14:textId="1D9AA7CA" w:rsidR="002F6AD7" w:rsidRPr="00EC68CC" w:rsidRDefault="002F6AD7" w:rsidP="002F6AD7">
            <w:pPr>
              <w:jc w:val="both"/>
            </w:pPr>
            <w:r w:rsidRPr="00EC68CC">
              <w:t>Vêtements </w:t>
            </w:r>
          </w:p>
          <w:p w14:paraId="06111356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581F6AFC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</w:tcPr>
          <w:p w14:paraId="24F2A519" w14:textId="77777777" w:rsidR="00D1532B" w:rsidRPr="00EC68CC" w:rsidRDefault="00D1532B" w:rsidP="006848AD">
            <w:pPr>
              <w:jc w:val="right"/>
            </w:pPr>
          </w:p>
          <w:p w14:paraId="48582DD9" w14:textId="23AC52D6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9463DC" w14:paraId="77ECFC61" w14:textId="77777777" w:rsidTr="00097AC8">
        <w:tc>
          <w:tcPr>
            <w:tcW w:w="2412" w:type="dxa"/>
            <w:tcBorders>
              <w:bottom w:val="single" w:sz="4" w:space="0" w:color="auto"/>
            </w:tcBorders>
          </w:tcPr>
          <w:p w14:paraId="5AF94BD3" w14:textId="77777777" w:rsidR="00D4734F" w:rsidRPr="00EC68CC" w:rsidRDefault="00D4734F" w:rsidP="009463DC">
            <w:pPr>
              <w:jc w:val="both"/>
            </w:pPr>
          </w:p>
          <w:p w14:paraId="59289F1E" w14:textId="2B01CB0E" w:rsidR="002F6AD7" w:rsidRPr="00EC68CC" w:rsidRDefault="002F6AD7" w:rsidP="009463DC">
            <w:pPr>
              <w:jc w:val="both"/>
            </w:pPr>
            <w:r w:rsidRPr="00EC68CC">
              <w:t>Services de garderie</w:t>
            </w:r>
          </w:p>
          <w:p w14:paraId="2F241D81" w14:textId="5C14C9FA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78CA7D2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38789CC" w14:textId="77777777" w:rsidR="00D1532B" w:rsidRPr="00EC68CC" w:rsidRDefault="00D1532B" w:rsidP="006848AD">
            <w:pPr>
              <w:jc w:val="right"/>
            </w:pPr>
          </w:p>
          <w:p w14:paraId="0A0EE17C" w14:textId="14823DBF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9463DC" w14:paraId="41281814" w14:textId="77777777" w:rsidTr="00097AC8">
        <w:tc>
          <w:tcPr>
            <w:tcW w:w="2412" w:type="dxa"/>
            <w:tcBorders>
              <w:bottom w:val="single" w:sz="24" w:space="0" w:color="auto"/>
            </w:tcBorders>
          </w:tcPr>
          <w:p w14:paraId="2061F943" w14:textId="77777777" w:rsidR="00D4734F" w:rsidRPr="00EC68CC" w:rsidRDefault="00D4734F" w:rsidP="009463DC">
            <w:pPr>
              <w:jc w:val="both"/>
            </w:pPr>
          </w:p>
          <w:p w14:paraId="509D451B" w14:textId="7AAED658" w:rsidR="002F6AD7" w:rsidRPr="00EC68CC" w:rsidRDefault="002F6AD7" w:rsidP="009463DC">
            <w:pPr>
              <w:jc w:val="both"/>
            </w:pPr>
            <w:r w:rsidRPr="00EC68CC">
              <w:t>Autres</w:t>
            </w:r>
          </w:p>
          <w:p w14:paraId="599B0721" w14:textId="7D3E0D9D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  <w:tcBorders>
              <w:bottom w:val="single" w:sz="24" w:space="0" w:color="auto"/>
            </w:tcBorders>
          </w:tcPr>
          <w:p w14:paraId="2B6D5A6D" w14:textId="77777777" w:rsidR="009463DC" w:rsidRPr="00EC68CC" w:rsidRDefault="009463DC" w:rsidP="009463DC">
            <w:pPr>
              <w:jc w:val="both"/>
            </w:pPr>
          </w:p>
        </w:tc>
        <w:tc>
          <w:tcPr>
            <w:tcW w:w="3117" w:type="dxa"/>
            <w:tcBorders>
              <w:bottom w:val="single" w:sz="24" w:space="0" w:color="auto"/>
            </w:tcBorders>
          </w:tcPr>
          <w:p w14:paraId="7363053D" w14:textId="77777777" w:rsidR="00D1532B" w:rsidRPr="00EC68CC" w:rsidRDefault="00D1532B" w:rsidP="006848AD">
            <w:pPr>
              <w:jc w:val="right"/>
            </w:pPr>
          </w:p>
          <w:p w14:paraId="1D32CE7B" w14:textId="17780BA2" w:rsidR="009463DC" w:rsidRPr="00EC68CC" w:rsidRDefault="006848AD" w:rsidP="006848AD">
            <w:pPr>
              <w:jc w:val="right"/>
            </w:pPr>
            <w:r w:rsidRPr="00EC68CC">
              <w:t>$</w:t>
            </w:r>
          </w:p>
        </w:tc>
      </w:tr>
      <w:tr w:rsidR="008F3B90" w14:paraId="3421E071" w14:textId="77777777" w:rsidTr="00097AC8">
        <w:tc>
          <w:tcPr>
            <w:tcW w:w="8646" w:type="dxa"/>
            <w:gridSpan w:val="3"/>
            <w:tcBorders>
              <w:top w:val="single" w:sz="24" w:space="0" w:color="auto"/>
            </w:tcBorders>
          </w:tcPr>
          <w:p w14:paraId="50FF77E4" w14:textId="77777777" w:rsidR="008F3B90" w:rsidRPr="00EC68CC" w:rsidRDefault="008F3B90" w:rsidP="009463DC">
            <w:pPr>
              <w:jc w:val="both"/>
            </w:pPr>
          </w:p>
          <w:p w14:paraId="7B157ED0" w14:textId="52B245E9" w:rsidR="008F3B90" w:rsidRPr="00EC68CC" w:rsidRDefault="008F3B90" w:rsidP="009463DC">
            <w:pPr>
              <w:jc w:val="both"/>
            </w:pPr>
            <w:r w:rsidRPr="00EC68CC">
              <w:t>Montant total demandé :</w:t>
            </w:r>
            <w:r w:rsidR="006848AD" w:rsidRPr="00EC68CC">
              <w:t xml:space="preserve">                                                                                                                           </w:t>
            </w:r>
            <w:r w:rsidR="006848AD" w:rsidRPr="00EC68CC">
              <w:rPr>
                <w:b/>
              </w:rPr>
              <w:t>$</w:t>
            </w:r>
          </w:p>
          <w:p w14:paraId="715DBCD3" w14:textId="3020F2F5" w:rsidR="008F3B90" w:rsidRPr="00EC68CC" w:rsidRDefault="008F3B90" w:rsidP="009463DC">
            <w:pPr>
              <w:jc w:val="both"/>
            </w:pPr>
          </w:p>
        </w:tc>
      </w:tr>
    </w:tbl>
    <w:p w14:paraId="4EAF9CD0" w14:textId="33100BEA" w:rsidR="009463DC" w:rsidRDefault="009463DC" w:rsidP="2C69F712">
      <w:pPr>
        <w:spacing w:after="0" w:line="240" w:lineRule="auto"/>
        <w:jc w:val="both"/>
      </w:pPr>
    </w:p>
    <w:p w14:paraId="0739E536" w14:textId="4F37F251" w:rsidR="2C69F712" w:rsidRDefault="2C69F712" w:rsidP="2C69F712">
      <w:pPr>
        <w:spacing w:after="0" w:line="240" w:lineRule="auto"/>
        <w:jc w:val="both"/>
        <w:rPr>
          <w:b/>
          <w:bCs/>
        </w:rPr>
      </w:pPr>
    </w:p>
    <w:p w14:paraId="10AA68C8" w14:textId="6929FE58" w:rsidR="62988D35" w:rsidRDefault="62988D35" w:rsidP="62988D35">
      <w:pPr>
        <w:spacing w:after="0" w:line="240" w:lineRule="auto"/>
        <w:jc w:val="both"/>
      </w:pPr>
    </w:p>
    <w:p w14:paraId="2D3475AB" w14:textId="02EC439D" w:rsidR="002C7B4F" w:rsidRDefault="002C7B4F" w:rsidP="00890007">
      <w:pPr>
        <w:spacing w:after="0" w:line="240" w:lineRule="auto"/>
        <w:jc w:val="both"/>
      </w:pPr>
    </w:p>
    <w:p w14:paraId="3CEA8DFD" w14:textId="71A9407F" w:rsidR="00224593" w:rsidRDefault="00224593" w:rsidP="00890007">
      <w:pPr>
        <w:spacing w:after="0" w:line="240" w:lineRule="auto"/>
        <w:jc w:val="both"/>
      </w:pPr>
    </w:p>
    <w:p w14:paraId="051C4DE3" w14:textId="22EBBBF2" w:rsidR="00224593" w:rsidRDefault="00224593" w:rsidP="00890007">
      <w:pPr>
        <w:spacing w:after="0" w:line="240" w:lineRule="auto"/>
        <w:jc w:val="both"/>
      </w:pPr>
    </w:p>
    <w:p w14:paraId="4895F394" w14:textId="41455349" w:rsidR="00224593" w:rsidRDefault="00224593" w:rsidP="00890007">
      <w:pPr>
        <w:spacing w:after="0" w:line="240" w:lineRule="auto"/>
        <w:jc w:val="both"/>
      </w:pPr>
    </w:p>
    <w:p w14:paraId="1B98FB40" w14:textId="572EBEB9" w:rsidR="00224593" w:rsidRDefault="00224593" w:rsidP="00890007">
      <w:pPr>
        <w:spacing w:after="0" w:line="240" w:lineRule="auto"/>
        <w:jc w:val="both"/>
      </w:pPr>
    </w:p>
    <w:p w14:paraId="37579440" w14:textId="0A3747FD" w:rsidR="00224593" w:rsidRDefault="00224593" w:rsidP="00890007">
      <w:pPr>
        <w:spacing w:after="0" w:line="240" w:lineRule="auto"/>
        <w:jc w:val="both"/>
      </w:pPr>
    </w:p>
    <w:p w14:paraId="05D17654" w14:textId="78AA14B4" w:rsidR="00224593" w:rsidRDefault="00224593" w:rsidP="00890007">
      <w:pPr>
        <w:spacing w:after="0" w:line="240" w:lineRule="auto"/>
        <w:jc w:val="both"/>
      </w:pPr>
    </w:p>
    <w:p w14:paraId="2FE93727" w14:textId="580AB01D" w:rsidR="00224593" w:rsidRDefault="00224593" w:rsidP="00890007">
      <w:pPr>
        <w:spacing w:after="0" w:line="240" w:lineRule="auto"/>
        <w:jc w:val="both"/>
      </w:pPr>
    </w:p>
    <w:p w14:paraId="2D132898" w14:textId="33466A13" w:rsidR="00224593" w:rsidRDefault="00224593" w:rsidP="00890007">
      <w:pPr>
        <w:spacing w:after="0" w:line="240" w:lineRule="auto"/>
        <w:jc w:val="both"/>
      </w:pPr>
    </w:p>
    <w:p w14:paraId="2F60241C" w14:textId="623ECBF9" w:rsidR="00224593" w:rsidRDefault="00224593" w:rsidP="00890007">
      <w:pPr>
        <w:spacing w:after="0" w:line="240" w:lineRule="auto"/>
        <w:jc w:val="both"/>
      </w:pPr>
    </w:p>
    <w:p w14:paraId="1E23F104" w14:textId="371CACC6" w:rsidR="00224593" w:rsidRDefault="00224593" w:rsidP="00890007">
      <w:pPr>
        <w:spacing w:after="0" w:line="240" w:lineRule="auto"/>
        <w:jc w:val="both"/>
      </w:pPr>
    </w:p>
    <w:p w14:paraId="621D0763" w14:textId="4F3BD409" w:rsidR="00224593" w:rsidRDefault="00224593" w:rsidP="00890007">
      <w:pPr>
        <w:spacing w:after="0" w:line="240" w:lineRule="auto"/>
        <w:jc w:val="both"/>
      </w:pPr>
    </w:p>
    <w:p w14:paraId="45422D85" w14:textId="1ADBA8C3" w:rsidR="00224593" w:rsidRDefault="00224593" w:rsidP="00890007">
      <w:pPr>
        <w:spacing w:after="0" w:line="240" w:lineRule="auto"/>
        <w:jc w:val="both"/>
      </w:pPr>
    </w:p>
    <w:p w14:paraId="532CAB04" w14:textId="31D0D8B1" w:rsidR="00224593" w:rsidRPr="002C7B4F" w:rsidRDefault="00224593" w:rsidP="00890007">
      <w:pPr>
        <w:spacing w:after="0" w:line="240" w:lineRule="auto"/>
        <w:jc w:val="both"/>
      </w:pPr>
    </w:p>
    <w:p w14:paraId="072D0D9B" w14:textId="339E7CB6" w:rsidR="00227C11" w:rsidRPr="007A19E0" w:rsidRDefault="00227C11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lastRenderedPageBreak/>
        <w:t>RAPPORTS</w:t>
      </w:r>
    </w:p>
    <w:p w14:paraId="666F964C" w14:textId="77777777" w:rsidR="00227C11" w:rsidRPr="00575088" w:rsidRDefault="00227C11" w:rsidP="00890007">
      <w:pPr>
        <w:spacing w:after="0" w:line="240" w:lineRule="auto"/>
        <w:jc w:val="both"/>
        <w:rPr>
          <w:sz w:val="12"/>
        </w:rPr>
      </w:pPr>
    </w:p>
    <w:p w14:paraId="1E136D88" w14:textId="3D8EAD1D" w:rsidR="2C69F712" w:rsidRDefault="62988D35" w:rsidP="62988D35">
      <w:pPr>
        <w:spacing w:after="0" w:line="240" w:lineRule="auto"/>
        <w:jc w:val="both"/>
        <w:rPr>
          <w:rFonts w:ascii="Calibri" w:eastAsia="Calibri" w:hAnsi="Calibri" w:cs="Calibri"/>
        </w:rPr>
      </w:pPr>
      <w:r w:rsidRPr="62988D35">
        <w:rPr>
          <w:rFonts w:ascii="Calibri" w:eastAsia="Calibri" w:hAnsi="Calibri" w:cs="Calibri"/>
        </w:rPr>
        <w:t xml:space="preserve">Les universités devront fournir des rapports financiers </w:t>
      </w:r>
      <w:r w:rsidR="00EE2D86">
        <w:rPr>
          <w:rFonts w:ascii="Calibri" w:eastAsia="Calibri" w:hAnsi="Calibri" w:cs="Calibri"/>
        </w:rPr>
        <w:t xml:space="preserve">au </w:t>
      </w:r>
      <w:r w:rsidR="00EE2D86" w:rsidRPr="05356D03">
        <w:rPr>
          <w:rFonts w:ascii="Calibri" w:eastAsia="Calibri" w:hAnsi="Calibri" w:cs="Calibri"/>
        </w:rPr>
        <w:t>ministère de l’Éducation postsecondaire, de la Formation et d</w:t>
      </w:r>
      <w:r w:rsidR="00EE2D86">
        <w:rPr>
          <w:rFonts w:ascii="Calibri" w:eastAsia="Calibri" w:hAnsi="Calibri" w:cs="Calibri"/>
        </w:rPr>
        <w:t xml:space="preserve">u Travail </w:t>
      </w:r>
      <w:r w:rsidRPr="62988D35">
        <w:rPr>
          <w:rFonts w:ascii="Calibri" w:eastAsia="Calibri" w:hAnsi="Calibri" w:cs="Calibri"/>
        </w:rPr>
        <w:t>dans lesquels sont décrits l’affectation et le versement des fonds.</w:t>
      </w:r>
    </w:p>
    <w:p w14:paraId="516DBA3E" w14:textId="1EA90B2E" w:rsidR="2C69F712" w:rsidRDefault="2C69F712" w:rsidP="2C69F712">
      <w:pPr>
        <w:spacing w:after="0" w:line="240" w:lineRule="auto"/>
        <w:jc w:val="both"/>
      </w:pPr>
    </w:p>
    <w:p w14:paraId="4FE26560" w14:textId="416F6948" w:rsidR="2C69F712" w:rsidRDefault="62988D35" w:rsidP="62988D35">
      <w:pPr>
        <w:spacing w:after="0" w:line="240" w:lineRule="auto"/>
        <w:jc w:val="both"/>
        <w:rPr>
          <w:rFonts w:ascii="Calibri" w:eastAsia="Calibri" w:hAnsi="Calibri" w:cs="Calibri"/>
        </w:rPr>
      </w:pPr>
      <w:r>
        <w:t xml:space="preserve">Les demandeurs retenus devront donc fournir, en temps opportun, un rapport sur les activités et les fonds versés </w:t>
      </w:r>
      <w:r w:rsidRPr="62988D35">
        <w:rPr>
          <w:rFonts w:ascii="Calibri" w:eastAsia="Calibri" w:hAnsi="Calibri" w:cs="Calibri"/>
        </w:rPr>
        <w:t>comme l’exige</w:t>
      </w:r>
      <w:r w:rsidR="00DA4F58">
        <w:rPr>
          <w:rFonts w:ascii="Calibri" w:eastAsia="Calibri" w:hAnsi="Calibri" w:cs="Calibri"/>
        </w:rPr>
        <w:t xml:space="preserve"> le </w:t>
      </w:r>
      <w:r w:rsidR="00DA4F58" w:rsidRPr="05356D03">
        <w:rPr>
          <w:rFonts w:ascii="Calibri" w:eastAsia="Calibri" w:hAnsi="Calibri" w:cs="Calibri"/>
        </w:rPr>
        <w:t>ministère de l’Éducation postsecondaire, de la Formation et d</w:t>
      </w:r>
      <w:r w:rsidR="00DA4F58">
        <w:rPr>
          <w:rFonts w:ascii="Calibri" w:eastAsia="Calibri" w:hAnsi="Calibri" w:cs="Calibri"/>
        </w:rPr>
        <w:t>u Travail.</w:t>
      </w:r>
      <w:r>
        <w:t xml:space="preserve"> Cela peut comprendre des présentations en personne au cours d’une des réunions régulières du Comité consultatif de l’apprentissage expérientiel de l’Université de Moncton.</w:t>
      </w:r>
    </w:p>
    <w:p w14:paraId="3358B272" w14:textId="2ABDA922" w:rsidR="2C69F712" w:rsidRDefault="2C69F712" w:rsidP="2C69F712">
      <w:pPr>
        <w:spacing w:after="0" w:line="240" w:lineRule="auto"/>
        <w:jc w:val="both"/>
      </w:pPr>
    </w:p>
    <w:p w14:paraId="3749B487" w14:textId="713A38BF" w:rsidR="00227C11" w:rsidRPr="00C31CD1" w:rsidRDefault="00227C11" w:rsidP="62988D35">
      <w:pPr>
        <w:spacing w:after="0" w:line="240" w:lineRule="auto"/>
        <w:jc w:val="both"/>
        <w:rPr>
          <w:b/>
          <w:bCs/>
        </w:rPr>
      </w:pPr>
    </w:p>
    <w:p w14:paraId="1EBE98EB" w14:textId="54C1FD5A" w:rsidR="00227C11" w:rsidRPr="007A19E0" w:rsidRDefault="62988D35" w:rsidP="007A19E0">
      <w:pPr>
        <w:pBdr>
          <w:bottom w:val="single" w:sz="18" w:space="1" w:color="02488C"/>
        </w:pBdr>
        <w:spacing w:after="0" w:line="240" w:lineRule="auto"/>
        <w:jc w:val="both"/>
        <w:rPr>
          <w:b/>
          <w:sz w:val="26"/>
          <w:szCs w:val="26"/>
        </w:rPr>
      </w:pPr>
      <w:r w:rsidRPr="007A19E0">
        <w:rPr>
          <w:b/>
          <w:sz w:val="26"/>
          <w:szCs w:val="26"/>
        </w:rPr>
        <w:t xml:space="preserve">SOUMISSIONS </w:t>
      </w:r>
    </w:p>
    <w:p w14:paraId="10FD429F" w14:textId="398F3340" w:rsidR="00227C11" w:rsidRPr="00A72FA5" w:rsidRDefault="00227C11" w:rsidP="00890007">
      <w:pPr>
        <w:spacing w:after="0" w:line="240" w:lineRule="auto"/>
        <w:jc w:val="both"/>
        <w:rPr>
          <w:sz w:val="12"/>
          <w:highlight w:val="yellow"/>
        </w:rPr>
      </w:pPr>
    </w:p>
    <w:p w14:paraId="6279497B" w14:textId="640004CF" w:rsidR="00414123" w:rsidRDefault="00534D99" w:rsidP="00414123">
      <w:pPr>
        <w:spacing w:after="0" w:line="240" w:lineRule="auto"/>
        <w:jc w:val="both"/>
      </w:pPr>
      <w:r w:rsidRPr="00EC68CC">
        <w:t xml:space="preserve">Les demandes peuvent </w:t>
      </w:r>
      <w:r w:rsidR="00196BA4" w:rsidRPr="00EC68CC">
        <w:t>être soumis</w:t>
      </w:r>
      <w:r w:rsidRPr="00EC68CC">
        <w:t>es par les e</w:t>
      </w:r>
      <w:r w:rsidR="00414123" w:rsidRPr="00EC68CC">
        <w:t xml:space="preserve">mployeurs ou organismes, </w:t>
      </w:r>
      <w:r w:rsidR="00777F08" w:rsidRPr="00EC68CC">
        <w:t xml:space="preserve">les </w:t>
      </w:r>
      <w:r w:rsidR="00196BA4" w:rsidRPr="00EC68CC">
        <w:t>personnes étudiantes</w:t>
      </w:r>
      <w:r w:rsidR="00777F08" w:rsidRPr="00EC68CC">
        <w:t xml:space="preserve"> ou </w:t>
      </w:r>
      <w:r w:rsidR="00196BA4" w:rsidRPr="00EC68CC">
        <w:t>le</w:t>
      </w:r>
      <w:r w:rsidR="00414123" w:rsidRPr="00EC68CC">
        <w:t xml:space="preserve"> personnel de l’Université de Moncton</w:t>
      </w:r>
      <w:r w:rsidRPr="00EC68CC">
        <w:t xml:space="preserve">. </w:t>
      </w:r>
      <w:r w:rsidR="00196BA4" w:rsidRPr="00EC68CC">
        <w:t>L’employeur ou l’organisme impliqué dans le projet</w:t>
      </w:r>
      <w:r w:rsidRPr="00EC68CC">
        <w:t xml:space="preserve"> doit avoir été contacté et être en accord av</w:t>
      </w:r>
      <w:r w:rsidR="00196BA4" w:rsidRPr="00EC68CC">
        <w:t>ec cette demande de financement.</w:t>
      </w:r>
    </w:p>
    <w:p w14:paraId="54613C0E" w14:textId="77777777" w:rsidR="00414123" w:rsidRDefault="00414123" w:rsidP="00890007">
      <w:pPr>
        <w:spacing w:after="0" w:line="240" w:lineRule="auto"/>
        <w:jc w:val="both"/>
      </w:pPr>
    </w:p>
    <w:p w14:paraId="5EF179AB" w14:textId="62F5BBBF" w:rsidR="00227C11" w:rsidRDefault="00227C11" w:rsidP="00890007">
      <w:pPr>
        <w:spacing w:after="0" w:line="240" w:lineRule="auto"/>
        <w:jc w:val="both"/>
      </w:pPr>
      <w:r w:rsidRPr="000C535E">
        <w:t xml:space="preserve">Toutes les demandes de financement devant être prises en compte </w:t>
      </w:r>
      <w:r w:rsidRPr="00EC68CC">
        <w:t xml:space="preserve">pour </w:t>
      </w:r>
      <w:r w:rsidR="004D404A" w:rsidRPr="00EC68CC">
        <w:t xml:space="preserve">la </w:t>
      </w:r>
      <w:r w:rsidR="004D404A" w:rsidRPr="00EC68CC">
        <w:rPr>
          <w:b/>
        </w:rPr>
        <w:t xml:space="preserve">session </w:t>
      </w:r>
      <w:r w:rsidR="001A330E" w:rsidRPr="00EC68CC">
        <w:rPr>
          <w:b/>
        </w:rPr>
        <w:t>de printemps-</w:t>
      </w:r>
      <w:r w:rsidR="00DA7979" w:rsidRPr="00EC68CC">
        <w:rPr>
          <w:b/>
        </w:rPr>
        <w:t>été</w:t>
      </w:r>
      <w:r w:rsidR="004D404A" w:rsidRPr="00EC68CC">
        <w:rPr>
          <w:b/>
        </w:rPr>
        <w:t xml:space="preserve"> 2019</w:t>
      </w:r>
      <w:r w:rsidRPr="00EC68CC">
        <w:t xml:space="preserve"> doivent être soumises</w:t>
      </w:r>
      <w:r w:rsidR="00817581" w:rsidRPr="00EC68CC">
        <w:t xml:space="preserve"> par </w:t>
      </w:r>
      <w:r w:rsidR="00817581" w:rsidRPr="00EC68CC">
        <w:rPr>
          <w:b/>
        </w:rPr>
        <w:t>courriel</w:t>
      </w:r>
      <w:r w:rsidRPr="00EC68CC">
        <w:t xml:space="preserve"> à l’atte</w:t>
      </w:r>
      <w:r w:rsidR="00817581" w:rsidRPr="00EC68CC">
        <w:t>ntion d’Emilie Frenette</w:t>
      </w:r>
      <w:r w:rsidR="004D404A" w:rsidRPr="00EC68CC">
        <w:t xml:space="preserve">. La date limite pour soumettre des </w:t>
      </w:r>
      <w:r w:rsidR="002B0157" w:rsidRPr="00EC68CC">
        <w:t>demandes</w:t>
      </w:r>
      <w:r w:rsidR="004D404A" w:rsidRPr="00EC68CC">
        <w:t xml:space="preserve"> est le </w:t>
      </w:r>
      <w:r w:rsidR="001A330E" w:rsidRPr="00EC68CC">
        <w:rPr>
          <w:b/>
        </w:rPr>
        <w:t>13</w:t>
      </w:r>
      <w:r w:rsidR="00DA7979" w:rsidRPr="00EC68CC">
        <w:rPr>
          <w:b/>
        </w:rPr>
        <w:t xml:space="preserve"> février 2019 en fin de journée</w:t>
      </w:r>
      <w:r w:rsidR="004D404A" w:rsidRPr="00EC68CC">
        <w:t>.</w:t>
      </w:r>
      <w:r w:rsidR="004D404A" w:rsidRPr="000C535E">
        <w:t xml:space="preserve"> </w:t>
      </w:r>
    </w:p>
    <w:p w14:paraId="70D57FE4" w14:textId="11F10CE0" w:rsidR="00227C11" w:rsidRPr="000C535E" w:rsidRDefault="00227C11" w:rsidP="00890007">
      <w:pPr>
        <w:spacing w:after="0" w:line="240" w:lineRule="auto"/>
        <w:jc w:val="both"/>
      </w:pPr>
    </w:p>
    <w:p w14:paraId="499847D0" w14:textId="2FD28A1F" w:rsidR="00227C11" w:rsidRPr="000C535E" w:rsidRDefault="00817581" w:rsidP="00890007">
      <w:pPr>
        <w:spacing w:after="0" w:line="240" w:lineRule="auto"/>
        <w:ind w:firstLine="708"/>
        <w:jc w:val="both"/>
      </w:pPr>
      <w:r w:rsidRPr="000C535E">
        <w:t>Emilie Frenette</w:t>
      </w:r>
    </w:p>
    <w:p w14:paraId="660B938A" w14:textId="77777777" w:rsidR="00927EFE" w:rsidRDefault="00927EFE" w:rsidP="00890007">
      <w:pPr>
        <w:spacing w:after="0" w:line="240" w:lineRule="auto"/>
        <w:ind w:left="708"/>
        <w:jc w:val="both"/>
      </w:pPr>
      <w:r w:rsidRPr="00927EFE">
        <w:t xml:space="preserve">Conseillère de l’apprentissage expérientiel </w:t>
      </w:r>
    </w:p>
    <w:p w14:paraId="7ED02B63" w14:textId="6ADE1D01" w:rsidR="00555A8F" w:rsidRPr="000C535E" w:rsidRDefault="00555A8F" w:rsidP="00890007">
      <w:pPr>
        <w:spacing w:after="0" w:line="240" w:lineRule="auto"/>
        <w:ind w:left="708"/>
        <w:jc w:val="both"/>
      </w:pPr>
      <w:r w:rsidRPr="000C535E">
        <w:t>Vice-rectorat adjoint à l’enseignement et aux affaires professorales</w:t>
      </w:r>
    </w:p>
    <w:p w14:paraId="6A575BD3" w14:textId="4696D0F1" w:rsidR="00817581" w:rsidRPr="000C535E" w:rsidRDefault="00817581" w:rsidP="00890007">
      <w:pPr>
        <w:spacing w:after="0" w:line="240" w:lineRule="auto"/>
        <w:ind w:left="708"/>
        <w:jc w:val="both"/>
      </w:pPr>
      <w:r w:rsidRPr="000C535E">
        <w:t>Université de Moncton</w:t>
      </w:r>
    </w:p>
    <w:p w14:paraId="61F70113" w14:textId="0BC1571E" w:rsidR="00227C11" w:rsidRPr="000C535E" w:rsidRDefault="00817581" w:rsidP="00890007">
      <w:pPr>
        <w:spacing w:after="0" w:line="240" w:lineRule="auto"/>
        <w:ind w:left="708"/>
        <w:jc w:val="both"/>
      </w:pPr>
      <w:r w:rsidRPr="000C535E">
        <w:rPr>
          <w:rStyle w:val="Lienhypertexte"/>
        </w:rPr>
        <w:t>emilie.frenette@umoncton.ca</w:t>
      </w:r>
    </w:p>
    <w:p w14:paraId="5BF12758" w14:textId="77777777" w:rsidR="00227C11" w:rsidRPr="00A72FA5" w:rsidRDefault="00227C11" w:rsidP="00890007">
      <w:pPr>
        <w:spacing w:after="0" w:line="240" w:lineRule="auto"/>
        <w:jc w:val="both"/>
        <w:rPr>
          <w:highlight w:val="yellow"/>
        </w:rPr>
      </w:pPr>
      <w:r w:rsidRPr="00A72FA5">
        <w:rPr>
          <w:highlight w:val="yellow"/>
        </w:rPr>
        <w:t xml:space="preserve"> </w:t>
      </w:r>
    </w:p>
    <w:p w14:paraId="224337E1" w14:textId="62A9CBB0" w:rsidR="002347FB" w:rsidRDefault="002347FB" w:rsidP="00890007">
      <w:pPr>
        <w:spacing w:after="0" w:line="240" w:lineRule="auto"/>
        <w:jc w:val="both"/>
      </w:pPr>
    </w:p>
    <w:p w14:paraId="4E26021C" w14:textId="3CBE24E7" w:rsidR="00555A8F" w:rsidRPr="00CC2243" w:rsidRDefault="00555A8F" w:rsidP="007A19E0">
      <w:pPr>
        <w:pBdr>
          <w:bottom w:val="single" w:sz="18" w:space="1" w:color="02488C"/>
        </w:pBdr>
        <w:spacing w:after="0" w:line="240" w:lineRule="auto"/>
        <w:jc w:val="both"/>
        <w:rPr>
          <w:sz w:val="12"/>
        </w:rPr>
      </w:pPr>
      <w:r w:rsidRPr="007A19E0">
        <w:rPr>
          <w:b/>
          <w:sz w:val="26"/>
          <w:szCs w:val="26"/>
        </w:rPr>
        <w:t>QUESTIONS</w:t>
      </w:r>
    </w:p>
    <w:p w14:paraId="24C1CC74" w14:textId="77777777" w:rsidR="007A19E0" w:rsidRPr="00165023" w:rsidRDefault="007A19E0" w:rsidP="00890007">
      <w:pPr>
        <w:spacing w:after="0" w:line="240" w:lineRule="auto"/>
        <w:jc w:val="both"/>
        <w:rPr>
          <w:sz w:val="12"/>
          <w:szCs w:val="12"/>
        </w:rPr>
      </w:pPr>
    </w:p>
    <w:p w14:paraId="271882C8" w14:textId="6D746133" w:rsidR="00555A8F" w:rsidRDefault="00555A8F" w:rsidP="00890007">
      <w:pPr>
        <w:spacing w:after="0" w:line="240" w:lineRule="auto"/>
        <w:jc w:val="both"/>
      </w:pPr>
      <w:r>
        <w:t>Pour toutes questions concernant la rédaction</w:t>
      </w:r>
      <w:r w:rsidR="00E75A84">
        <w:t xml:space="preserve"> et soumission</w:t>
      </w:r>
      <w:r>
        <w:t xml:space="preserve"> de votre demande de financement</w:t>
      </w:r>
      <w:r w:rsidR="00712CD5">
        <w:t xml:space="preserve"> de projet</w:t>
      </w:r>
      <w:r>
        <w:t>, veuillez communiquer avec Emilie Frenette par courriel, téléphone ou en personne :</w:t>
      </w:r>
    </w:p>
    <w:p w14:paraId="11706E9A" w14:textId="214FBE9F" w:rsidR="00555A8F" w:rsidRDefault="00555A8F" w:rsidP="00890007">
      <w:pPr>
        <w:spacing w:after="0" w:line="240" w:lineRule="auto"/>
        <w:jc w:val="both"/>
      </w:pPr>
    </w:p>
    <w:p w14:paraId="25D7BAB5" w14:textId="77777777" w:rsidR="00555A8F" w:rsidRDefault="00555A8F" w:rsidP="00890007">
      <w:pPr>
        <w:spacing w:after="0" w:line="240" w:lineRule="auto"/>
        <w:ind w:firstLine="708"/>
        <w:jc w:val="both"/>
      </w:pPr>
      <w:r>
        <w:t>Emilie Frenette</w:t>
      </w:r>
    </w:p>
    <w:p w14:paraId="24C5C158" w14:textId="77777777" w:rsidR="00555A8F" w:rsidRDefault="00555A8F" w:rsidP="00890007">
      <w:pPr>
        <w:spacing w:after="0" w:line="240" w:lineRule="auto"/>
        <w:ind w:left="708"/>
        <w:jc w:val="both"/>
      </w:pPr>
      <w:r>
        <w:t>Pavillon Léopold-</w:t>
      </w:r>
      <w:proofErr w:type="spellStart"/>
      <w:r>
        <w:t>Taillon</w:t>
      </w:r>
      <w:proofErr w:type="spellEnd"/>
      <w:r>
        <w:t>, local 247</w:t>
      </w:r>
    </w:p>
    <w:p w14:paraId="238F4EBA" w14:textId="24672A12" w:rsidR="00555A8F" w:rsidRDefault="00555A8F" w:rsidP="00890007">
      <w:pPr>
        <w:spacing w:after="0" w:line="240" w:lineRule="auto"/>
        <w:ind w:left="708"/>
        <w:jc w:val="both"/>
      </w:pPr>
      <w:r>
        <w:t>Université de Moncton</w:t>
      </w:r>
    </w:p>
    <w:p w14:paraId="074DB957" w14:textId="21D80648" w:rsidR="00555A8F" w:rsidRDefault="00555A8F" w:rsidP="00890007">
      <w:pPr>
        <w:spacing w:after="0" w:line="240" w:lineRule="auto"/>
        <w:ind w:left="708"/>
        <w:jc w:val="both"/>
      </w:pPr>
      <w:r>
        <w:t>506 858-4418</w:t>
      </w:r>
    </w:p>
    <w:p w14:paraId="4BCBFD93" w14:textId="507B937E" w:rsidR="000569A3" w:rsidRPr="003E53F2" w:rsidRDefault="00874E31" w:rsidP="00890007">
      <w:pPr>
        <w:spacing w:after="0" w:line="240" w:lineRule="auto"/>
        <w:ind w:left="708"/>
        <w:jc w:val="both"/>
        <w:rPr>
          <w:rStyle w:val="Lienhypertexte"/>
        </w:rPr>
      </w:pPr>
      <w:hyperlink r:id="rId11" w:history="1">
        <w:r w:rsidR="000569A3" w:rsidRPr="003E53F2">
          <w:rPr>
            <w:rStyle w:val="Lienhypertexte"/>
          </w:rPr>
          <w:t>emilie.frenette@umoncton.ca</w:t>
        </w:r>
      </w:hyperlink>
    </w:p>
    <w:p w14:paraId="3E8997D7" w14:textId="77777777" w:rsidR="000569A3" w:rsidRPr="003E53F2" w:rsidRDefault="000569A3">
      <w:pPr>
        <w:rPr>
          <w:rStyle w:val="Lienhypertexte"/>
        </w:rPr>
      </w:pPr>
      <w:r w:rsidRPr="003E53F2">
        <w:rPr>
          <w:rStyle w:val="Lienhypertexte"/>
        </w:rPr>
        <w:br w:type="page"/>
      </w:r>
    </w:p>
    <w:p w14:paraId="0E4A931C" w14:textId="77777777" w:rsidR="000569A3" w:rsidRPr="00E21BE1" w:rsidRDefault="000569A3" w:rsidP="000569A3">
      <w:pPr>
        <w:spacing w:after="0" w:line="240" w:lineRule="auto"/>
        <w:jc w:val="center"/>
        <w:rPr>
          <w:b/>
          <w:sz w:val="24"/>
          <w:szCs w:val="24"/>
        </w:rPr>
      </w:pPr>
      <w:r w:rsidRPr="00E21BE1">
        <w:rPr>
          <w:b/>
          <w:sz w:val="24"/>
          <w:szCs w:val="24"/>
        </w:rPr>
        <w:lastRenderedPageBreak/>
        <w:t xml:space="preserve">Annexe A </w:t>
      </w:r>
    </w:p>
    <w:p w14:paraId="5DFA4F32" w14:textId="77777777" w:rsidR="000569A3" w:rsidRPr="00E21BE1" w:rsidRDefault="000569A3" w:rsidP="000569A3">
      <w:pPr>
        <w:spacing w:after="0" w:line="240" w:lineRule="auto"/>
        <w:jc w:val="center"/>
        <w:rPr>
          <w:b/>
          <w:sz w:val="24"/>
          <w:szCs w:val="24"/>
        </w:rPr>
      </w:pPr>
      <w:r w:rsidRPr="00E21BE1">
        <w:rPr>
          <w:b/>
          <w:sz w:val="24"/>
          <w:szCs w:val="24"/>
        </w:rPr>
        <w:t>Catégories de financement dans le cadre du</w:t>
      </w:r>
    </w:p>
    <w:p w14:paraId="66BD0994" w14:textId="77777777" w:rsidR="000569A3" w:rsidRPr="00E21BE1" w:rsidRDefault="000569A3" w:rsidP="000569A3">
      <w:pPr>
        <w:spacing w:after="0" w:line="240" w:lineRule="auto"/>
        <w:jc w:val="center"/>
        <w:rPr>
          <w:b/>
          <w:sz w:val="24"/>
          <w:szCs w:val="24"/>
        </w:rPr>
      </w:pPr>
      <w:r w:rsidRPr="00E21BE1">
        <w:rPr>
          <w:b/>
          <w:sz w:val="24"/>
          <w:szCs w:val="24"/>
        </w:rPr>
        <w:t xml:space="preserve"> Fonds d’apprentissage expérientiel pour personnes étudiantes</w:t>
      </w:r>
    </w:p>
    <w:p w14:paraId="7D25597D" w14:textId="77777777" w:rsidR="000569A3" w:rsidRPr="00E21BE1" w:rsidRDefault="000569A3" w:rsidP="000569A3">
      <w:pPr>
        <w:spacing w:after="0" w:line="240" w:lineRule="auto"/>
        <w:jc w:val="both"/>
        <w:rPr>
          <w:b/>
          <w:u w:val="single"/>
        </w:rPr>
      </w:pPr>
    </w:p>
    <w:p w14:paraId="1CE711BD" w14:textId="77777777" w:rsidR="000569A3" w:rsidRPr="00E21BE1" w:rsidRDefault="000569A3" w:rsidP="000569A3">
      <w:pPr>
        <w:spacing w:after="0" w:line="240" w:lineRule="auto"/>
        <w:jc w:val="both"/>
        <w:rPr>
          <w:b/>
        </w:rPr>
      </w:pPr>
      <w:r w:rsidRPr="0015547E">
        <w:rPr>
          <w:b/>
        </w:rPr>
        <w:t>SUBVENTION SALARIALE</w:t>
      </w:r>
      <w:r w:rsidRPr="00E21BE1">
        <w:rPr>
          <w:b/>
          <w:lang w:val="en-CA"/>
        </w:rPr>
        <w:t xml:space="preserve"> </w:t>
      </w:r>
    </w:p>
    <w:p w14:paraId="67A046EA" w14:textId="77777777" w:rsidR="000569A3" w:rsidRPr="00E21BE1" w:rsidRDefault="000569A3" w:rsidP="000569A3">
      <w:pPr>
        <w:numPr>
          <w:ilvl w:val="0"/>
          <w:numId w:val="14"/>
        </w:numPr>
        <w:spacing w:after="0" w:line="240" w:lineRule="auto"/>
        <w:jc w:val="both"/>
      </w:pPr>
      <w:r w:rsidRPr="00E21BE1">
        <w:t xml:space="preserve">L’admissibilité à une subvention salariale dépend du type de possibilité d’apprentissage expérientiel approuvé par l’université. </w:t>
      </w:r>
    </w:p>
    <w:p w14:paraId="0ACD7540" w14:textId="77777777" w:rsidR="000569A3" w:rsidRPr="00EC68CC" w:rsidRDefault="000569A3" w:rsidP="000569A3">
      <w:pPr>
        <w:numPr>
          <w:ilvl w:val="0"/>
          <w:numId w:val="14"/>
        </w:numPr>
        <w:spacing w:after="0" w:line="240" w:lineRule="auto"/>
        <w:jc w:val="both"/>
      </w:pPr>
      <w:r w:rsidRPr="00E21BE1">
        <w:t xml:space="preserve">Les montants approuvés dépendront du type de possibilité d’apprentissage expérientiel et de la capacité du </w:t>
      </w:r>
      <w:r w:rsidRPr="00EC68CC">
        <w:t xml:space="preserve">partenaire à financer le salaire.  </w:t>
      </w:r>
    </w:p>
    <w:p w14:paraId="0717BD7E" w14:textId="788E428B" w:rsidR="000569A3" w:rsidRPr="00EC68CC" w:rsidRDefault="000569A3" w:rsidP="005875A7">
      <w:pPr>
        <w:numPr>
          <w:ilvl w:val="0"/>
          <w:numId w:val="14"/>
        </w:numPr>
        <w:spacing w:after="0" w:line="240" w:lineRule="auto"/>
        <w:jc w:val="both"/>
      </w:pPr>
      <w:r w:rsidRPr="00EC68CC">
        <w:t>Les organismes à but non lucratif et les PME recevront des fonds afin de pouvoir offrir un salaire concurrentiel dans le cadre des stages.</w:t>
      </w:r>
      <w:r w:rsidR="00277A73" w:rsidRPr="00EC68CC">
        <w:t xml:space="preserve"> </w:t>
      </w:r>
      <w:r w:rsidR="00781DBA" w:rsidRPr="00EC68CC">
        <w:t>Le salaire horaire maximum remis est de 14.30 $ de l’heure, ce qui correspond au salaire minimum avec l’ajout de 2.50 $ et 4% du salaire brut pour paie de vacance.</w:t>
      </w:r>
      <w:r w:rsidR="005875A7" w:rsidRPr="00EC68CC">
        <w:t xml:space="preserve"> L’employeur ou l’organisme est libre d’offrir un complément de salaire, si leurs moyens le permettent.</w:t>
      </w:r>
    </w:p>
    <w:p w14:paraId="796B9EAA" w14:textId="16871377" w:rsidR="00AF20C2" w:rsidRPr="00EC68CC" w:rsidRDefault="00AF20C2" w:rsidP="000569A3">
      <w:pPr>
        <w:numPr>
          <w:ilvl w:val="0"/>
          <w:numId w:val="14"/>
        </w:numPr>
        <w:spacing w:after="0" w:line="240" w:lineRule="auto"/>
        <w:jc w:val="both"/>
      </w:pPr>
      <w:r w:rsidRPr="00EC68CC">
        <w:t xml:space="preserve">Les activités qui reçoivent des crédits universitaires ne recevront pas de </w:t>
      </w:r>
      <w:r w:rsidR="00115170" w:rsidRPr="00EC68CC">
        <w:t>subvention salariale</w:t>
      </w:r>
      <w:r w:rsidR="00465929" w:rsidRPr="00EC68CC">
        <w:t>.</w:t>
      </w:r>
    </w:p>
    <w:p w14:paraId="34CD48D1" w14:textId="77777777" w:rsidR="000569A3" w:rsidRPr="00E21BE1" w:rsidRDefault="000569A3" w:rsidP="000569A3">
      <w:pPr>
        <w:spacing w:after="0" w:line="240" w:lineRule="auto"/>
        <w:ind w:left="720"/>
        <w:jc w:val="both"/>
        <w:rPr>
          <w:b/>
          <w:u w:val="single"/>
        </w:rPr>
      </w:pPr>
      <w:r w:rsidRPr="00E21BE1">
        <w:t xml:space="preserve">  </w:t>
      </w:r>
    </w:p>
    <w:p w14:paraId="426F3CB0" w14:textId="77777777" w:rsidR="000569A3" w:rsidRPr="00E21BE1" w:rsidRDefault="000569A3" w:rsidP="000569A3">
      <w:pPr>
        <w:spacing w:after="0" w:line="240" w:lineRule="auto"/>
        <w:jc w:val="both"/>
        <w:rPr>
          <w:b/>
        </w:rPr>
      </w:pPr>
      <w:r w:rsidRPr="0015547E">
        <w:rPr>
          <w:b/>
        </w:rPr>
        <w:t>LOGEMENT</w:t>
      </w:r>
      <w:r w:rsidRPr="00E21BE1">
        <w:rPr>
          <w:b/>
          <w:lang w:val="en-CA"/>
        </w:rPr>
        <w:t xml:space="preserve">  </w:t>
      </w:r>
    </w:p>
    <w:p w14:paraId="4077FFB5" w14:textId="289F6E9E" w:rsidR="000569A3" w:rsidRPr="0015547E" w:rsidRDefault="000569A3" w:rsidP="000569A3">
      <w:pPr>
        <w:numPr>
          <w:ilvl w:val="0"/>
          <w:numId w:val="10"/>
        </w:numPr>
        <w:spacing w:after="0" w:line="240" w:lineRule="auto"/>
        <w:jc w:val="both"/>
      </w:pPr>
      <w:r w:rsidRPr="00E21BE1">
        <w:t xml:space="preserve">Les coûts associés à </w:t>
      </w:r>
      <w:r w:rsidRPr="0015547E">
        <w:t xml:space="preserve">une </w:t>
      </w:r>
      <w:r w:rsidR="00E21BE1" w:rsidRPr="0015547E">
        <w:t>personne étudiante</w:t>
      </w:r>
      <w:r w:rsidRPr="0015547E">
        <w:t xml:space="preserve"> qui doit se déplacer ou obtenir une deuxième résidence pour avoir accès à sa possibilité d’apprentissage expérientiel seront approuvés et financés en fonction d’un examen au cas par cas, à l’appréciation de l’université. </w:t>
      </w:r>
    </w:p>
    <w:p w14:paraId="56999F70" w14:textId="672684F2" w:rsidR="000569A3" w:rsidRPr="0015547E" w:rsidRDefault="00E21BE1" w:rsidP="000569A3">
      <w:pPr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>La personne étudiante</w:t>
      </w:r>
      <w:r w:rsidR="000569A3" w:rsidRPr="0015547E">
        <w:rPr>
          <w:rFonts w:cstheme="minorHAnsi"/>
        </w:rPr>
        <w:t xml:space="preserve"> doit fournir les documents confirmant le coût total avant de recevoir les fonds.</w:t>
      </w:r>
    </w:p>
    <w:p w14:paraId="5E867FFA" w14:textId="77777777" w:rsidR="000569A3" w:rsidRPr="00E21BE1" w:rsidRDefault="000569A3" w:rsidP="000569A3">
      <w:pPr>
        <w:spacing w:after="0" w:line="240" w:lineRule="auto"/>
        <w:jc w:val="both"/>
        <w:rPr>
          <w:b/>
        </w:rPr>
      </w:pPr>
    </w:p>
    <w:p w14:paraId="68E87010" w14:textId="0C55B310" w:rsidR="000569A3" w:rsidRPr="0015547E" w:rsidRDefault="000569A3" w:rsidP="000569A3">
      <w:pPr>
        <w:spacing w:after="0" w:line="240" w:lineRule="auto"/>
        <w:jc w:val="both"/>
        <w:rPr>
          <w:b/>
        </w:rPr>
      </w:pPr>
      <w:bookmarkStart w:id="1" w:name="_Hlk529437955"/>
      <w:r w:rsidRPr="00E21BE1">
        <w:rPr>
          <w:b/>
        </w:rPr>
        <w:t xml:space="preserve">FRAIS DE </w:t>
      </w:r>
      <w:r w:rsidRPr="0015547E">
        <w:rPr>
          <w:b/>
        </w:rPr>
        <w:t xml:space="preserve">DÉPLACEMENT </w:t>
      </w:r>
      <w:r w:rsidR="00E21BE1" w:rsidRPr="0015547E">
        <w:rPr>
          <w:b/>
        </w:rPr>
        <w:t>(</w:t>
      </w:r>
      <w:r w:rsidRPr="0015547E">
        <w:rPr>
          <w:b/>
        </w:rPr>
        <w:t>au Nouveau-Brunswick seulement</w:t>
      </w:r>
      <w:bookmarkEnd w:id="1"/>
      <w:r w:rsidR="00E21BE1" w:rsidRPr="0015547E">
        <w:rPr>
          <w:b/>
        </w:rPr>
        <w:t>)</w:t>
      </w:r>
      <w:r w:rsidRPr="0015547E">
        <w:rPr>
          <w:b/>
        </w:rPr>
        <w:t xml:space="preserve"> </w:t>
      </w:r>
    </w:p>
    <w:p w14:paraId="381FF246" w14:textId="77777777" w:rsidR="000569A3" w:rsidRPr="00E21BE1" w:rsidRDefault="000569A3" w:rsidP="000569A3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>Les frais de déplacement couvrent la totalité du coût d’un</w:t>
      </w:r>
      <w:r w:rsidRPr="00E21BE1">
        <w:rPr>
          <w:rFonts w:cstheme="minorHAnsi"/>
        </w:rPr>
        <w:t xml:space="preserve"> laissez-passer d’autobus mensuel pour la durée du stage.   </w:t>
      </w:r>
    </w:p>
    <w:p w14:paraId="3C9E46D0" w14:textId="47F365C7" w:rsidR="000569A3" w:rsidRPr="0015547E" w:rsidRDefault="00E21BE1" w:rsidP="000569A3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>La personne étudiante</w:t>
      </w:r>
      <w:r w:rsidR="000569A3" w:rsidRPr="0015547E">
        <w:rPr>
          <w:rFonts w:cstheme="minorHAnsi"/>
        </w:rPr>
        <w:t xml:space="preserve"> se fera rembourser à la présentation de son reçu ou à l’approbation de la preuve des coûts.</w:t>
      </w:r>
    </w:p>
    <w:p w14:paraId="1F0F7C2C" w14:textId="2CA9A1E1" w:rsidR="000569A3" w:rsidRPr="0015547E" w:rsidRDefault="000569A3" w:rsidP="000569A3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 xml:space="preserve">S’ils doivent utiliser leur véhicule personnel, les </w:t>
      </w:r>
      <w:r w:rsidR="002E211E" w:rsidRPr="0015547E">
        <w:rPr>
          <w:rFonts w:cstheme="minorHAnsi"/>
        </w:rPr>
        <w:t>personnes étudiantes</w:t>
      </w:r>
      <w:r w:rsidRPr="0015547E">
        <w:rPr>
          <w:rFonts w:cstheme="minorHAnsi"/>
        </w:rPr>
        <w:t xml:space="preserve"> se feront rembourser 0,41 $ le kilomètre. </w:t>
      </w:r>
    </w:p>
    <w:p w14:paraId="301B58F6" w14:textId="77777777" w:rsidR="000569A3" w:rsidRPr="0015547E" w:rsidRDefault="000569A3" w:rsidP="000569A3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>Les frais de location, d’essence et d’assurance seront couverts au besoin, sur présentation des reçus appropriés.</w:t>
      </w:r>
    </w:p>
    <w:p w14:paraId="243098F4" w14:textId="50883B41" w:rsidR="000569A3" w:rsidRPr="0015547E" w:rsidRDefault="00E21BE1" w:rsidP="000569A3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>La personne étudiante</w:t>
      </w:r>
      <w:r w:rsidR="000569A3" w:rsidRPr="0015547E">
        <w:rPr>
          <w:rFonts w:cstheme="minorHAnsi"/>
        </w:rPr>
        <w:t xml:space="preserve"> doit soumettre des demandes de remboursement des frais de déplacement qui ont été validées par l’employeur</w:t>
      </w:r>
      <w:r w:rsidR="005915BE" w:rsidRPr="0015547E">
        <w:rPr>
          <w:rFonts w:cstheme="minorHAnsi"/>
        </w:rPr>
        <w:t xml:space="preserve"> ou l’organisme</w:t>
      </w:r>
      <w:r w:rsidR="000569A3" w:rsidRPr="0015547E">
        <w:rPr>
          <w:rFonts w:cstheme="minorHAnsi"/>
        </w:rPr>
        <w:t xml:space="preserve">. </w:t>
      </w:r>
    </w:p>
    <w:p w14:paraId="77689C55" w14:textId="77777777" w:rsidR="000569A3" w:rsidRPr="0015547E" w:rsidRDefault="000569A3" w:rsidP="000569A3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>Les kilomètres donnant lieu à un remboursement doivent être en fonction du parcours le plus court et le plus direct.</w:t>
      </w:r>
    </w:p>
    <w:p w14:paraId="034264F7" w14:textId="77777777" w:rsidR="000569A3" w:rsidRPr="0015547E" w:rsidRDefault="000569A3" w:rsidP="000569A3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 xml:space="preserve">Le remboursement des frais de taxi et de déplacement </w:t>
      </w:r>
      <w:proofErr w:type="spellStart"/>
      <w:r w:rsidRPr="0015547E">
        <w:rPr>
          <w:rFonts w:cstheme="minorHAnsi"/>
        </w:rPr>
        <w:t>intermunicipaux</w:t>
      </w:r>
      <w:proofErr w:type="spellEnd"/>
      <w:r w:rsidRPr="0015547E">
        <w:rPr>
          <w:rFonts w:cstheme="minorHAnsi"/>
        </w:rPr>
        <w:t xml:space="preserve"> sera également évalué au cas par cas.  </w:t>
      </w:r>
    </w:p>
    <w:p w14:paraId="2528036A" w14:textId="73AB40C9" w:rsidR="000569A3" w:rsidRDefault="000569A3" w:rsidP="000569A3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 xml:space="preserve">Seuls les frais de déplacement que </w:t>
      </w:r>
      <w:r w:rsidR="00E21BE1" w:rsidRPr="0015547E">
        <w:rPr>
          <w:rFonts w:cstheme="minorHAnsi"/>
        </w:rPr>
        <w:t>la personne étudiante</w:t>
      </w:r>
      <w:r w:rsidRPr="0015547E">
        <w:rPr>
          <w:rFonts w:cstheme="minorHAnsi"/>
        </w:rPr>
        <w:t xml:space="preserve"> doit engager dans le cadre de son stage sont admissibles. </w:t>
      </w:r>
    </w:p>
    <w:p w14:paraId="7B03F301" w14:textId="536D4B7F" w:rsidR="00E21BE1" w:rsidRDefault="00E21BE1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22F61A62" w14:textId="3D923DA6" w:rsidR="00094926" w:rsidRDefault="00094926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2E53DC40" w14:textId="03201060" w:rsidR="00094926" w:rsidRDefault="00094926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0020F471" w14:textId="39D652EE" w:rsidR="00094926" w:rsidRDefault="00094926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6E384E73" w14:textId="1F95A4F7" w:rsidR="00094926" w:rsidRDefault="00094926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4AE648CF" w14:textId="25C710A2" w:rsidR="00094926" w:rsidRDefault="00094926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60D5DD6F" w14:textId="77777777" w:rsidR="00094926" w:rsidRPr="0015547E" w:rsidRDefault="00094926" w:rsidP="00E21BE1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23D031A9" w14:textId="77777777" w:rsidR="00094926" w:rsidRPr="0015547E" w:rsidRDefault="00094926" w:rsidP="00094926">
      <w:pPr>
        <w:spacing w:after="0" w:line="240" w:lineRule="auto"/>
        <w:jc w:val="center"/>
        <w:rPr>
          <w:b/>
          <w:sz w:val="24"/>
          <w:szCs w:val="24"/>
        </w:rPr>
      </w:pPr>
      <w:r w:rsidRPr="0015547E">
        <w:rPr>
          <w:b/>
          <w:sz w:val="24"/>
          <w:szCs w:val="24"/>
        </w:rPr>
        <w:lastRenderedPageBreak/>
        <w:t>Annexe A (suite)</w:t>
      </w:r>
    </w:p>
    <w:p w14:paraId="050DDA18" w14:textId="77777777" w:rsidR="00094926" w:rsidRPr="0015547E" w:rsidRDefault="00094926" w:rsidP="00094926">
      <w:pPr>
        <w:spacing w:after="0" w:line="240" w:lineRule="auto"/>
        <w:jc w:val="center"/>
        <w:rPr>
          <w:b/>
          <w:sz w:val="24"/>
          <w:szCs w:val="24"/>
        </w:rPr>
      </w:pPr>
      <w:r w:rsidRPr="0015547E">
        <w:rPr>
          <w:b/>
          <w:sz w:val="24"/>
          <w:szCs w:val="24"/>
        </w:rPr>
        <w:t>Catégories de financement dans le cadre du</w:t>
      </w:r>
    </w:p>
    <w:p w14:paraId="7F7478F2" w14:textId="77777777" w:rsidR="00094926" w:rsidRPr="0015547E" w:rsidRDefault="00094926" w:rsidP="00094926">
      <w:pPr>
        <w:spacing w:after="0" w:line="240" w:lineRule="auto"/>
        <w:jc w:val="center"/>
        <w:rPr>
          <w:b/>
          <w:sz w:val="24"/>
          <w:szCs w:val="24"/>
        </w:rPr>
      </w:pPr>
      <w:r w:rsidRPr="0015547E">
        <w:rPr>
          <w:b/>
          <w:sz w:val="24"/>
          <w:szCs w:val="24"/>
        </w:rPr>
        <w:t xml:space="preserve"> Fonds d’apprentissage expérientiel pour personnes étudiantes</w:t>
      </w:r>
    </w:p>
    <w:p w14:paraId="03002AEE" w14:textId="77777777" w:rsidR="00094926" w:rsidRDefault="00094926" w:rsidP="000569A3">
      <w:pPr>
        <w:spacing w:after="0" w:line="240" w:lineRule="auto"/>
        <w:jc w:val="both"/>
        <w:rPr>
          <w:b/>
        </w:rPr>
      </w:pPr>
    </w:p>
    <w:p w14:paraId="0B17CF62" w14:textId="28B00017" w:rsidR="000569A3" w:rsidRPr="0015547E" w:rsidRDefault="000569A3" w:rsidP="000569A3">
      <w:pPr>
        <w:spacing w:after="0" w:line="240" w:lineRule="auto"/>
        <w:jc w:val="both"/>
        <w:rPr>
          <w:b/>
        </w:rPr>
      </w:pPr>
      <w:r w:rsidRPr="0015547E">
        <w:rPr>
          <w:b/>
        </w:rPr>
        <w:t>MATÉRIEL</w:t>
      </w:r>
      <w:r w:rsidRPr="0015547E">
        <w:rPr>
          <w:b/>
          <w:lang w:val="en-CA"/>
        </w:rPr>
        <w:t xml:space="preserve"> </w:t>
      </w:r>
    </w:p>
    <w:p w14:paraId="2B7B8CDD" w14:textId="2B06B62C" w:rsidR="000569A3" w:rsidRPr="00EC68CC" w:rsidRDefault="000569A3" w:rsidP="000569A3">
      <w:pPr>
        <w:numPr>
          <w:ilvl w:val="0"/>
          <w:numId w:val="15"/>
        </w:numPr>
        <w:spacing w:after="0" w:line="240" w:lineRule="auto"/>
        <w:jc w:val="both"/>
      </w:pPr>
      <w:r w:rsidRPr="0015547E">
        <w:t>Un montant maximal de 500 </w:t>
      </w:r>
      <w:r w:rsidRPr="00EC68CC">
        <w:t xml:space="preserve">$ </w:t>
      </w:r>
      <w:r w:rsidR="008E2BC9" w:rsidRPr="00EC68CC">
        <w:t>par personne étudiante</w:t>
      </w:r>
      <w:r w:rsidR="008E2BC9" w:rsidRPr="0015547E">
        <w:t xml:space="preserve"> </w:t>
      </w:r>
      <w:r w:rsidRPr="0015547E">
        <w:t>est accordé pour les frais de location</w:t>
      </w:r>
      <w:r w:rsidRPr="0015547E">
        <w:rPr>
          <w:bCs/>
          <w:vertAlign w:val="superscript"/>
          <w:lang w:val="en-CA"/>
        </w:rPr>
        <w:footnoteReference w:id="4"/>
      </w:r>
      <w:r w:rsidRPr="0015547E">
        <w:rPr>
          <w:bCs/>
        </w:rPr>
        <w:t xml:space="preserve"> </w:t>
      </w:r>
      <w:r w:rsidRPr="0015547E">
        <w:t xml:space="preserve">ou l’achat </w:t>
      </w:r>
      <w:r w:rsidR="00976CFE">
        <w:t xml:space="preserve">du matériel </w:t>
      </w:r>
      <w:r w:rsidR="00976CFE" w:rsidRPr="00EC68CC">
        <w:t>nécessaire au stage</w:t>
      </w:r>
      <w:r w:rsidR="008E2BC9" w:rsidRPr="00EC68CC">
        <w:t>.</w:t>
      </w:r>
      <w:r w:rsidR="00976CFE" w:rsidRPr="00EC68CC">
        <w:t xml:space="preserve"> </w:t>
      </w:r>
    </w:p>
    <w:p w14:paraId="3DD7BED8" w14:textId="26A8C5FC" w:rsidR="000569A3" w:rsidRPr="00EC68CC" w:rsidRDefault="000569A3" w:rsidP="000569A3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cstheme="minorHAnsi"/>
        </w:rPr>
      </w:pPr>
      <w:r w:rsidRPr="00EC68CC">
        <w:rPr>
          <w:rFonts w:cstheme="minorHAnsi"/>
        </w:rPr>
        <w:t xml:space="preserve">Il faut fournir une preuve de l’employeur </w:t>
      </w:r>
      <w:r w:rsidR="005915BE" w:rsidRPr="00EC68CC">
        <w:rPr>
          <w:rFonts w:cstheme="minorHAnsi"/>
        </w:rPr>
        <w:t xml:space="preserve">ou de l’organisme </w:t>
      </w:r>
      <w:r w:rsidRPr="00EC68CC">
        <w:rPr>
          <w:rFonts w:cstheme="minorHAnsi"/>
        </w:rPr>
        <w:t xml:space="preserve">qui montre que le matériel est bel et bien requis dans le cadre du stage. </w:t>
      </w:r>
    </w:p>
    <w:p w14:paraId="5BE1263C" w14:textId="0160C145" w:rsidR="00E21BE1" w:rsidRPr="00EC68CC" w:rsidRDefault="000569A3" w:rsidP="00E21BE1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cstheme="minorHAnsi"/>
        </w:rPr>
      </w:pPr>
      <w:r w:rsidRPr="00EC68CC">
        <w:rPr>
          <w:rFonts w:cstheme="minorHAnsi"/>
        </w:rPr>
        <w:t xml:space="preserve">Le matériel ou l’équipement doit être essentiel au succès du stage. </w:t>
      </w:r>
    </w:p>
    <w:p w14:paraId="77E313AF" w14:textId="49CD8C9A" w:rsidR="00DD2E2E" w:rsidRPr="00EC68CC" w:rsidRDefault="000C3810" w:rsidP="00E21BE1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cstheme="minorHAnsi"/>
        </w:rPr>
      </w:pPr>
      <w:r w:rsidRPr="00EC68CC">
        <w:rPr>
          <w:rFonts w:cstheme="minorHAnsi"/>
        </w:rPr>
        <w:t xml:space="preserve">Le matériel qui est disponible et </w:t>
      </w:r>
      <w:r w:rsidR="006E286B" w:rsidRPr="00EC68CC">
        <w:rPr>
          <w:rFonts w:cstheme="minorHAnsi"/>
        </w:rPr>
        <w:t xml:space="preserve">qui </w:t>
      </w:r>
      <w:r w:rsidRPr="00EC68CC">
        <w:rPr>
          <w:rFonts w:cstheme="minorHAnsi"/>
        </w:rPr>
        <w:t>peut être loué</w:t>
      </w:r>
      <w:r w:rsidR="00DD2E2E" w:rsidRPr="00EC68CC">
        <w:rPr>
          <w:rFonts w:cstheme="minorHAnsi"/>
        </w:rPr>
        <w:t xml:space="preserve"> gratuitement à l’Université de Moncton</w:t>
      </w:r>
      <w:r w:rsidRPr="00EC68CC">
        <w:rPr>
          <w:rFonts w:cstheme="minorHAnsi"/>
        </w:rPr>
        <w:t xml:space="preserve"> ne sera pas financé.</w:t>
      </w:r>
    </w:p>
    <w:p w14:paraId="67A27B58" w14:textId="77777777" w:rsidR="006B4D57" w:rsidRPr="0015547E" w:rsidRDefault="006B4D57" w:rsidP="00056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9A8410D" w14:textId="166624E7" w:rsidR="000569A3" w:rsidRPr="0015547E" w:rsidRDefault="000569A3" w:rsidP="00056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5547E">
        <w:rPr>
          <w:rFonts w:cstheme="minorHAnsi"/>
          <w:b/>
        </w:rPr>
        <w:t xml:space="preserve">FORMATION </w:t>
      </w:r>
      <w:r w:rsidR="00E21BE1" w:rsidRPr="0015547E">
        <w:rPr>
          <w:rFonts w:cstheme="minorHAnsi"/>
          <w:b/>
        </w:rPr>
        <w:t>(</w:t>
      </w:r>
      <w:r w:rsidRPr="0015547E">
        <w:rPr>
          <w:rFonts w:cstheme="minorHAnsi"/>
          <w:b/>
        </w:rPr>
        <w:t>au Nouveau-Brunswick seulement</w:t>
      </w:r>
      <w:r w:rsidR="00E21BE1" w:rsidRPr="0015547E">
        <w:rPr>
          <w:rFonts w:cstheme="minorHAnsi"/>
          <w:b/>
        </w:rPr>
        <w:t>)</w:t>
      </w:r>
      <w:r w:rsidRPr="0015547E">
        <w:rPr>
          <w:rFonts w:cstheme="minorHAnsi"/>
          <w:b/>
        </w:rPr>
        <w:t xml:space="preserve"> </w:t>
      </w:r>
    </w:p>
    <w:p w14:paraId="56D466A3" w14:textId="3C14378C" w:rsidR="000569A3" w:rsidRDefault="000569A3" w:rsidP="000569A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547E">
        <w:rPr>
          <w:rFonts w:cstheme="minorHAnsi"/>
        </w:rPr>
        <w:t>Les coûts associés à une formation qui, selon l’employeur</w:t>
      </w:r>
      <w:r w:rsidR="005915BE" w:rsidRPr="0015547E">
        <w:rPr>
          <w:rFonts w:cstheme="minorHAnsi"/>
        </w:rPr>
        <w:t xml:space="preserve"> ou l’organisme</w:t>
      </w:r>
      <w:r w:rsidRPr="0015547E">
        <w:rPr>
          <w:rFonts w:cstheme="minorHAnsi"/>
        </w:rPr>
        <w:t xml:space="preserve">, pourrait aider une </w:t>
      </w:r>
      <w:r w:rsidR="00D00F84" w:rsidRPr="0015547E">
        <w:rPr>
          <w:rFonts w:cstheme="minorHAnsi"/>
        </w:rPr>
        <w:t xml:space="preserve">personne étudiante </w:t>
      </w:r>
      <w:r w:rsidRPr="0015547E">
        <w:rPr>
          <w:rFonts w:cstheme="minorHAnsi"/>
        </w:rPr>
        <w:t xml:space="preserve">dans le cadre de sa possibilité d’apprentissage expérientiel peuvent être approuvés à l’appréciation de l’université. </w:t>
      </w:r>
    </w:p>
    <w:p w14:paraId="2D727008" w14:textId="77777777" w:rsidR="000569A3" w:rsidRPr="0015547E" w:rsidRDefault="000569A3" w:rsidP="00056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A409D34" w14:textId="77777777" w:rsidR="000569A3" w:rsidRPr="0015547E" w:rsidRDefault="000569A3" w:rsidP="00056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CA"/>
        </w:rPr>
      </w:pPr>
      <w:r w:rsidRPr="0015547E">
        <w:rPr>
          <w:rFonts w:cstheme="minorHAnsi"/>
          <w:b/>
        </w:rPr>
        <w:t>VÊTEMENTS</w:t>
      </w:r>
      <w:r w:rsidRPr="0015547E">
        <w:rPr>
          <w:rFonts w:cstheme="minorHAnsi"/>
          <w:b/>
          <w:lang w:val="en-CA"/>
        </w:rPr>
        <w:t xml:space="preserve"> </w:t>
      </w:r>
    </w:p>
    <w:p w14:paraId="3BDB9381" w14:textId="4DEF7FEA" w:rsidR="000569A3" w:rsidRPr="00EC68CC" w:rsidRDefault="000569A3" w:rsidP="000569A3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cstheme="minorHAnsi"/>
          <w:bCs/>
        </w:rPr>
      </w:pPr>
      <w:r w:rsidRPr="007612D6">
        <w:rPr>
          <w:rFonts w:cstheme="minorHAnsi"/>
        </w:rPr>
        <w:t xml:space="preserve">Maximum de </w:t>
      </w:r>
      <w:r w:rsidRPr="00EC68CC">
        <w:rPr>
          <w:rFonts w:cstheme="minorHAnsi"/>
        </w:rPr>
        <w:t>500 $</w:t>
      </w:r>
      <w:r w:rsidR="007612D6" w:rsidRPr="00EC68CC">
        <w:rPr>
          <w:rFonts w:cstheme="minorHAnsi"/>
        </w:rPr>
        <w:t xml:space="preserve"> par personne étudiante.</w:t>
      </w:r>
      <w:r w:rsidRPr="00EC68CC">
        <w:rPr>
          <w:rFonts w:cstheme="minorHAnsi"/>
          <w:bCs/>
        </w:rPr>
        <w:t xml:space="preserve"> </w:t>
      </w:r>
    </w:p>
    <w:p w14:paraId="71B69DDE" w14:textId="0B552E98" w:rsidR="000569A3" w:rsidRPr="0015547E" w:rsidRDefault="000569A3" w:rsidP="000569A3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cstheme="minorHAnsi"/>
        </w:rPr>
      </w:pPr>
      <w:r w:rsidRPr="0015547E">
        <w:rPr>
          <w:rFonts w:cstheme="minorHAnsi"/>
        </w:rPr>
        <w:t xml:space="preserve">Les vêtements doivent être obligatoires et nécessaires pour assurer la sécurité personnelle de </w:t>
      </w:r>
      <w:r w:rsidR="00D00F84" w:rsidRPr="0015547E">
        <w:rPr>
          <w:rFonts w:cstheme="minorHAnsi"/>
        </w:rPr>
        <w:t>la personne étudiante</w:t>
      </w:r>
      <w:r w:rsidRPr="0015547E">
        <w:rPr>
          <w:rFonts w:cstheme="minorHAnsi"/>
        </w:rPr>
        <w:t xml:space="preserve"> et celle de l’ensemble du personnel. </w:t>
      </w:r>
      <w:r w:rsidRPr="0015547E">
        <w:rPr>
          <w:rFonts w:cstheme="minorHAnsi"/>
          <w:bCs/>
        </w:rPr>
        <w:t>Le coût des vêtements ne doit pas déjà être couvert par l’employeur</w:t>
      </w:r>
      <w:r w:rsidR="007118A2" w:rsidRPr="0015547E">
        <w:rPr>
          <w:rFonts w:cstheme="minorHAnsi"/>
          <w:bCs/>
        </w:rPr>
        <w:t xml:space="preserve"> ou l’organisme</w:t>
      </w:r>
      <w:r w:rsidRPr="0015547E">
        <w:rPr>
          <w:rFonts w:cstheme="minorHAnsi"/>
          <w:bCs/>
        </w:rPr>
        <w:t>.</w:t>
      </w:r>
      <w:r w:rsidRPr="0015547E">
        <w:rPr>
          <w:rFonts w:cstheme="minorHAnsi"/>
        </w:rPr>
        <w:t xml:space="preserve"> </w:t>
      </w:r>
    </w:p>
    <w:p w14:paraId="707AB4E7" w14:textId="77777777" w:rsidR="00E21BE1" w:rsidRPr="0015547E" w:rsidRDefault="00E21BE1" w:rsidP="00E21BE1">
      <w:pPr>
        <w:spacing w:after="200" w:line="240" w:lineRule="auto"/>
        <w:ind w:left="720"/>
        <w:contextualSpacing/>
        <w:jc w:val="both"/>
        <w:rPr>
          <w:rFonts w:cstheme="minorHAnsi"/>
        </w:rPr>
      </w:pPr>
    </w:p>
    <w:p w14:paraId="05D33DF8" w14:textId="77777777" w:rsidR="000569A3" w:rsidRPr="0015547E" w:rsidRDefault="000569A3" w:rsidP="00056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CA"/>
        </w:rPr>
      </w:pPr>
      <w:r w:rsidRPr="0015547E">
        <w:rPr>
          <w:rFonts w:cstheme="minorHAnsi"/>
          <w:b/>
          <w:bCs/>
          <w:lang w:val="en-CA"/>
        </w:rPr>
        <w:t xml:space="preserve">SERVICES DE GARDERIE  </w:t>
      </w:r>
    </w:p>
    <w:p w14:paraId="13FD115D" w14:textId="6B988C22" w:rsidR="000569A3" w:rsidRPr="0015547E" w:rsidRDefault="000569A3" w:rsidP="000569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5547E">
        <w:rPr>
          <w:rFonts w:cstheme="minorHAnsi"/>
          <w:bCs/>
        </w:rPr>
        <w:t xml:space="preserve">Les </w:t>
      </w:r>
      <w:r w:rsidR="007B389D" w:rsidRPr="0015547E">
        <w:rPr>
          <w:rFonts w:cstheme="minorHAnsi"/>
          <w:bCs/>
        </w:rPr>
        <w:t>personnes étudiantes</w:t>
      </w:r>
      <w:r w:rsidRPr="0015547E">
        <w:rPr>
          <w:rFonts w:cstheme="minorHAnsi"/>
          <w:bCs/>
        </w:rPr>
        <w:t xml:space="preserve"> ayant besoin de services de garderie peuvent présenter une demande au Programme d’assistance aux services de garderie géré par le ministère du Développement social.  </w:t>
      </w:r>
    </w:p>
    <w:p w14:paraId="6E8FCE16" w14:textId="77777777" w:rsidR="000569A3" w:rsidRPr="0015547E" w:rsidRDefault="000569A3" w:rsidP="000569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5547E">
        <w:rPr>
          <w:rFonts w:cstheme="minorHAnsi"/>
          <w:bCs/>
        </w:rPr>
        <w:t xml:space="preserve">Si les coûts réels ne sont pas entièrement couverts par le Programme d’assistance aux services de garderie, un supplément peut être approuvé à l’appréciation de l’université. </w:t>
      </w:r>
    </w:p>
    <w:p w14:paraId="1DE20FC4" w14:textId="77777777" w:rsidR="000569A3" w:rsidRPr="0015547E" w:rsidRDefault="000569A3" w:rsidP="00056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Cs/>
        </w:rPr>
      </w:pPr>
    </w:p>
    <w:p w14:paraId="048389BB" w14:textId="77777777" w:rsidR="000569A3" w:rsidRPr="0015547E" w:rsidRDefault="000569A3" w:rsidP="00056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CA"/>
        </w:rPr>
      </w:pPr>
      <w:r w:rsidRPr="0015547E">
        <w:rPr>
          <w:rFonts w:cstheme="minorHAnsi"/>
          <w:b/>
          <w:bCs/>
        </w:rPr>
        <w:t>AUTRES</w:t>
      </w:r>
      <w:r w:rsidRPr="0015547E">
        <w:rPr>
          <w:rFonts w:cstheme="minorHAnsi"/>
          <w:b/>
          <w:bCs/>
          <w:lang w:val="en-CA"/>
        </w:rPr>
        <w:t xml:space="preserve"> </w:t>
      </w:r>
    </w:p>
    <w:p w14:paraId="45476EE6" w14:textId="281981E1" w:rsidR="000569A3" w:rsidRPr="0015547E" w:rsidRDefault="000569A3" w:rsidP="000569A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5547E">
        <w:rPr>
          <w:rFonts w:cstheme="minorHAnsi"/>
          <w:bCs/>
        </w:rPr>
        <w:t xml:space="preserve">Tout autre élément qui empêche </w:t>
      </w:r>
      <w:r w:rsidR="007B389D" w:rsidRPr="0015547E">
        <w:rPr>
          <w:rFonts w:cstheme="minorHAnsi"/>
          <w:bCs/>
        </w:rPr>
        <w:t>la personne étudiante</w:t>
      </w:r>
      <w:r w:rsidRPr="0015547E">
        <w:rPr>
          <w:rFonts w:cstheme="minorHAnsi"/>
          <w:bCs/>
        </w:rPr>
        <w:t xml:space="preserve"> d’accéder à la possibilité d’apprentissage sera examiné et approuvé à l’appréciation de l’université.</w:t>
      </w:r>
    </w:p>
    <w:p w14:paraId="60764E96" w14:textId="77777777" w:rsidR="000569A3" w:rsidRPr="00E21BE1" w:rsidRDefault="000569A3" w:rsidP="000569A3"/>
    <w:p w14:paraId="0A7BCAA0" w14:textId="77777777" w:rsidR="00555A8F" w:rsidRDefault="00555A8F" w:rsidP="00890007">
      <w:pPr>
        <w:spacing w:after="0" w:line="240" w:lineRule="auto"/>
        <w:ind w:left="708"/>
        <w:jc w:val="both"/>
      </w:pPr>
    </w:p>
    <w:p w14:paraId="0B50A7D7" w14:textId="77777777" w:rsidR="00555A8F" w:rsidRDefault="00555A8F" w:rsidP="00890007">
      <w:pPr>
        <w:spacing w:after="0" w:line="240" w:lineRule="auto"/>
        <w:jc w:val="both"/>
      </w:pPr>
    </w:p>
    <w:p w14:paraId="1E28745F" w14:textId="11052F31" w:rsidR="00555A8F" w:rsidRDefault="00555A8F" w:rsidP="00555A8F">
      <w:pPr>
        <w:spacing w:after="0" w:line="240" w:lineRule="auto"/>
      </w:pPr>
    </w:p>
    <w:p w14:paraId="0EF013A4" w14:textId="77777777" w:rsidR="00555A8F" w:rsidRPr="00555A8F" w:rsidRDefault="00555A8F" w:rsidP="00555A8F">
      <w:pPr>
        <w:spacing w:after="0" w:line="240" w:lineRule="auto"/>
      </w:pPr>
    </w:p>
    <w:p w14:paraId="7D53F717" w14:textId="5F680345" w:rsidR="00555A8F" w:rsidRPr="00227C11" w:rsidRDefault="00555A8F" w:rsidP="00227C11">
      <w:pPr>
        <w:spacing w:after="0" w:line="240" w:lineRule="auto"/>
      </w:pPr>
    </w:p>
    <w:sectPr w:rsidR="00555A8F" w:rsidRPr="00227C11" w:rsidSect="00234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E5479" w14:textId="77777777" w:rsidR="001123C1" w:rsidRDefault="001123C1" w:rsidP="003A2FA6">
      <w:pPr>
        <w:spacing w:after="0" w:line="240" w:lineRule="auto"/>
      </w:pPr>
      <w:r>
        <w:separator/>
      </w:r>
    </w:p>
  </w:endnote>
  <w:endnote w:type="continuationSeparator" w:id="0">
    <w:p w14:paraId="3E82E3F4" w14:textId="77777777" w:rsidR="001123C1" w:rsidRDefault="001123C1" w:rsidP="003A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4BE1" w14:textId="77777777" w:rsidR="00775A53" w:rsidRDefault="00775A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09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36D09" w14:textId="3C27EFAE" w:rsidR="003A2FA6" w:rsidRDefault="003A2FA6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E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E3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910249" w14:textId="77777777" w:rsidR="003A2FA6" w:rsidRDefault="003A2F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5081" w14:textId="77777777" w:rsidR="00775A53" w:rsidRDefault="00775A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A175" w14:textId="77777777" w:rsidR="001123C1" w:rsidRDefault="001123C1" w:rsidP="003A2FA6">
      <w:pPr>
        <w:spacing w:after="0" w:line="240" w:lineRule="auto"/>
      </w:pPr>
      <w:r>
        <w:separator/>
      </w:r>
    </w:p>
  </w:footnote>
  <w:footnote w:type="continuationSeparator" w:id="0">
    <w:p w14:paraId="7FBCC893" w14:textId="77777777" w:rsidR="001123C1" w:rsidRDefault="001123C1" w:rsidP="003A2FA6">
      <w:pPr>
        <w:spacing w:after="0" w:line="240" w:lineRule="auto"/>
      </w:pPr>
      <w:r>
        <w:continuationSeparator/>
      </w:r>
    </w:p>
  </w:footnote>
  <w:footnote w:id="1">
    <w:p w14:paraId="7AB44AC7" w14:textId="6372B406" w:rsidR="00A24A77" w:rsidRPr="00D9178A" w:rsidRDefault="00A24A77" w:rsidP="00A24A77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69677A">
        <w:rPr>
          <w:lang w:val="fr-CA"/>
        </w:rPr>
        <w:t xml:space="preserve"> </w:t>
      </w:r>
      <w:r w:rsidRPr="00D9178A">
        <w:rPr>
          <w:lang w:val="fr-CA"/>
        </w:rPr>
        <w:t xml:space="preserve">Certaines exceptions peuvent être accordées aux personnes étudiantes </w:t>
      </w:r>
      <w:r w:rsidR="00202CB3" w:rsidRPr="00D9178A">
        <w:rPr>
          <w:lang w:val="fr-CA"/>
        </w:rPr>
        <w:t xml:space="preserve">inscrites </w:t>
      </w:r>
      <w:r w:rsidRPr="00D9178A">
        <w:rPr>
          <w:lang w:val="fr-CA"/>
        </w:rPr>
        <w:t xml:space="preserve">à temps partiel qui vivent avec une incapacité. </w:t>
      </w:r>
    </w:p>
  </w:footnote>
  <w:footnote w:id="2">
    <w:p w14:paraId="59B24A5D" w14:textId="42A77826" w:rsidR="00202CB3" w:rsidRPr="00D9178A" w:rsidRDefault="00202CB3" w:rsidP="00202CB3">
      <w:pPr>
        <w:pStyle w:val="Notedebasdepage"/>
        <w:rPr>
          <w:lang w:val="fr-CA"/>
        </w:rPr>
      </w:pPr>
      <w:r w:rsidRPr="00D9178A">
        <w:rPr>
          <w:rStyle w:val="Appelnotedebasdep"/>
        </w:rPr>
        <w:footnoteRef/>
      </w:r>
      <w:r w:rsidRPr="00D9178A">
        <w:rPr>
          <w:lang w:val="fr-CA"/>
        </w:rPr>
        <w:t xml:space="preserve"> Les personnes étudiantes autochtones de premier et </w:t>
      </w:r>
      <w:r w:rsidR="00D041EB" w:rsidRPr="00D9178A">
        <w:rPr>
          <w:lang w:val="fr-CA"/>
        </w:rPr>
        <w:t xml:space="preserve">de </w:t>
      </w:r>
      <w:r w:rsidRPr="00D9178A">
        <w:rPr>
          <w:lang w:val="fr-CA"/>
        </w:rPr>
        <w:t xml:space="preserve">deuxième cycle peuvent avoir accès à ce fonds. </w:t>
      </w:r>
    </w:p>
  </w:footnote>
  <w:footnote w:id="3">
    <w:p w14:paraId="0F3AEB13" w14:textId="760C3510" w:rsidR="00A24A77" w:rsidRPr="0069677A" w:rsidRDefault="00004DB6" w:rsidP="00004DB6">
      <w:pPr>
        <w:pStyle w:val="Notedebasdepage"/>
        <w:rPr>
          <w:lang w:val="fr-CA"/>
        </w:rPr>
      </w:pPr>
      <w:r w:rsidRPr="00D9178A">
        <w:rPr>
          <w:rStyle w:val="Appelnotedebasdep"/>
        </w:rPr>
        <w:footnoteRef/>
      </w:r>
      <w:r w:rsidRPr="00D9178A">
        <w:rPr>
          <w:lang w:val="fr-CA"/>
        </w:rPr>
        <w:t xml:space="preserve"> </w:t>
      </w:r>
      <w:r w:rsidRPr="00D9178A">
        <w:rPr>
          <w:color w:val="000000"/>
          <w:lang w:val="fr-CA"/>
        </w:rPr>
        <w:t>Nouvelle possibilité : Pos</w:t>
      </w:r>
      <w:r w:rsidR="008244E0" w:rsidRPr="00D9178A">
        <w:rPr>
          <w:color w:val="000000"/>
          <w:lang w:val="fr-CA"/>
        </w:rPr>
        <w:t>sibilité ajoutée par le partenaire sur le marché du travail</w:t>
      </w:r>
      <w:r w:rsidRPr="00D9178A">
        <w:rPr>
          <w:color w:val="000000"/>
          <w:lang w:val="fr-CA"/>
        </w:rPr>
        <w:t>,</w:t>
      </w:r>
      <w:r w:rsidRPr="00F274F7">
        <w:rPr>
          <w:color w:val="000000"/>
          <w:lang w:val="fr-CA"/>
        </w:rPr>
        <w:t xml:space="preserve"> qui ne remplace pas ni n’élimine un poste existant, y compris un congé de maternité, un congé de maladie ou un congé autre.</w:t>
      </w:r>
      <w:r w:rsidRPr="0069677A">
        <w:rPr>
          <w:lang w:val="fr-CA"/>
        </w:rPr>
        <w:t xml:space="preserve">   </w:t>
      </w:r>
      <w:r w:rsidR="00A24A77">
        <w:rPr>
          <w:lang w:val="fr-CA"/>
        </w:rPr>
        <w:t xml:space="preserve"> </w:t>
      </w:r>
    </w:p>
  </w:footnote>
  <w:footnote w:id="4">
    <w:p w14:paraId="35B1B2F3" w14:textId="77777777" w:rsidR="000569A3" w:rsidRPr="002C60A9" w:rsidRDefault="000569A3" w:rsidP="000569A3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2C60A9">
        <w:rPr>
          <w:lang w:val="fr-CA"/>
        </w:rPr>
        <w:t xml:space="preserve"> </w:t>
      </w:r>
      <w:r w:rsidRPr="002C60A9">
        <w:rPr>
          <w:color w:val="000000"/>
          <w:lang w:val="fr-CA"/>
        </w:rPr>
        <w:t>Les options de location doivent être examinées avant de faire tout achat de matériel.</w:t>
      </w:r>
      <w:r w:rsidRPr="002C60A9">
        <w:rPr>
          <w:lang w:val="fr-CA"/>
        </w:rPr>
        <w:t xml:space="preserve"> </w:t>
      </w:r>
      <w:r w:rsidRPr="002C60A9">
        <w:rPr>
          <w:color w:val="000000"/>
          <w:lang w:val="fr-CA"/>
        </w:rPr>
        <w:t>L’entente de stage doit indiquer clairement « qui » est le propriétaire de tout article acheté.</w:t>
      </w:r>
      <w:r w:rsidRPr="002C60A9">
        <w:rPr>
          <w:lang w:val="fr-CA"/>
        </w:rPr>
        <w:t xml:space="preserve"> </w:t>
      </w:r>
      <w:r w:rsidRPr="001566A2">
        <w:rPr>
          <w:color w:val="000000"/>
          <w:lang w:val="fr-CA"/>
        </w:rPr>
        <w:t xml:space="preserve">REMARQUE : Les ordinateurs portables </w:t>
      </w:r>
      <w:r w:rsidRPr="001566A2">
        <w:rPr>
          <w:color w:val="000000"/>
          <w:u w:val="single"/>
          <w:lang w:val="fr-CA"/>
        </w:rPr>
        <w:t>ne</w:t>
      </w:r>
      <w:r w:rsidRPr="001566A2">
        <w:rPr>
          <w:color w:val="000000"/>
          <w:lang w:val="fr-CA"/>
        </w:rPr>
        <w:t xml:space="preserve"> sont </w:t>
      </w:r>
      <w:r w:rsidRPr="001566A2">
        <w:rPr>
          <w:color w:val="000000"/>
          <w:u w:val="single"/>
          <w:lang w:val="fr-CA"/>
        </w:rPr>
        <w:t>pas</w:t>
      </w:r>
      <w:r w:rsidRPr="001566A2">
        <w:rPr>
          <w:color w:val="000000"/>
          <w:lang w:val="fr-CA"/>
        </w:rPr>
        <w:t xml:space="preserve"> admissibles à l</w:t>
      </w:r>
      <w:r>
        <w:rPr>
          <w:color w:val="000000"/>
          <w:lang w:val="fr-CA"/>
        </w:rPr>
        <w:t>’</w:t>
      </w:r>
      <w:r w:rsidRPr="001566A2">
        <w:rPr>
          <w:color w:val="000000"/>
          <w:lang w:val="fr-CA"/>
        </w:rPr>
        <w:t>achat.</w:t>
      </w:r>
      <w:r w:rsidRPr="001566A2">
        <w:rPr>
          <w:lang w:val="fr-C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C433" w14:textId="77777777" w:rsidR="00775A53" w:rsidRDefault="00775A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B931" w14:textId="77777777" w:rsidR="00775A53" w:rsidRDefault="00775A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385C" w14:textId="77777777" w:rsidR="00775A53" w:rsidRDefault="00775A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0E8"/>
    <w:multiLevelType w:val="hybridMultilevel"/>
    <w:tmpl w:val="F0989C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0AB"/>
    <w:multiLevelType w:val="hybridMultilevel"/>
    <w:tmpl w:val="E5103D4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723EAA"/>
    <w:multiLevelType w:val="hybridMultilevel"/>
    <w:tmpl w:val="A372D3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B5F"/>
    <w:multiLevelType w:val="hybridMultilevel"/>
    <w:tmpl w:val="E00CAB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5429"/>
    <w:multiLevelType w:val="hybridMultilevel"/>
    <w:tmpl w:val="F5684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86E"/>
    <w:multiLevelType w:val="hybridMultilevel"/>
    <w:tmpl w:val="62E20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F8F"/>
    <w:multiLevelType w:val="hybridMultilevel"/>
    <w:tmpl w:val="5FE8A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B40D6"/>
    <w:multiLevelType w:val="hybridMultilevel"/>
    <w:tmpl w:val="4D202970"/>
    <w:lvl w:ilvl="0" w:tplc="7DFA46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729"/>
    <w:multiLevelType w:val="hybridMultilevel"/>
    <w:tmpl w:val="A8E25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61DF"/>
    <w:multiLevelType w:val="hybridMultilevel"/>
    <w:tmpl w:val="CD049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359AC"/>
    <w:multiLevelType w:val="hybridMultilevel"/>
    <w:tmpl w:val="43FA2E0E"/>
    <w:lvl w:ilvl="0" w:tplc="94B08F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024AD"/>
    <w:multiLevelType w:val="hybridMultilevel"/>
    <w:tmpl w:val="93825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17EE1"/>
    <w:multiLevelType w:val="hybridMultilevel"/>
    <w:tmpl w:val="9A28848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6295E"/>
    <w:multiLevelType w:val="hybridMultilevel"/>
    <w:tmpl w:val="7C5A2E1A"/>
    <w:lvl w:ilvl="0" w:tplc="2004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8B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E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6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6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25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9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0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54BBF"/>
    <w:multiLevelType w:val="hybridMultilevel"/>
    <w:tmpl w:val="6B089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429C6"/>
    <w:multiLevelType w:val="hybridMultilevel"/>
    <w:tmpl w:val="9236B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11"/>
    <w:rsid w:val="00001B14"/>
    <w:rsid w:val="000020B1"/>
    <w:rsid w:val="00004DB6"/>
    <w:rsid w:val="00007799"/>
    <w:rsid w:val="0001014D"/>
    <w:rsid w:val="00012098"/>
    <w:rsid w:val="00017B5E"/>
    <w:rsid w:val="00031B79"/>
    <w:rsid w:val="00032561"/>
    <w:rsid w:val="00032F80"/>
    <w:rsid w:val="0003321F"/>
    <w:rsid w:val="00036B0F"/>
    <w:rsid w:val="000404E4"/>
    <w:rsid w:val="00043EFE"/>
    <w:rsid w:val="00047525"/>
    <w:rsid w:val="000569A3"/>
    <w:rsid w:val="00086DDC"/>
    <w:rsid w:val="00090E49"/>
    <w:rsid w:val="00091C9E"/>
    <w:rsid w:val="000924BA"/>
    <w:rsid w:val="00094926"/>
    <w:rsid w:val="00097AC8"/>
    <w:rsid w:val="000A4811"/>
    <w:rsid w:val="000B2E07"/>
    <w:rsid w:val="000B4CD3"/>
    <w:rsid w:val="000C3810"/>
    <w:rsid w:val="000C535E"/>
    <w:rsid w:val="000D0FAF"/>
    <w:rsid w:val="000E0DB7"/>
    <w:rsid w:val="000E0EDF"/>
    <w:rsid w:val="000E2E0C"/>
    <w:rsid w:val="000E5592"/>
    <w:rsid w:val="000E6855"/>
    <w:rsid w:val="000F6A8D"/>
    <w:rsid w:val="000F73E3"/>
    <w:rsid w:val="00102AEF"/>
    <w:rsid w:val="00104170"/>
    <w:rsid w:val="00104BE6"/>
    <w:rsid w:val="001057DC"/>
    <w:rsid w:val="001123C1"/>
    <w:rsid w:val="00115170"/>
    <w:rsid w:val="00115AA5"/>
    <w:rsid w:val="001161ED"/>
    <w:rsid w:val="00116F5D"/>
    <w:rsid w:val="001362FD"/>
    <w:rsid w:val="001467CB"/>
    <w:rsid w:val="00152BA6"/>
    <w:rsid w:val="00152CE5"/>
    <w:rsid w:val="0015340C"/>
    <w:rsid w:val="0015547E"/>
    <w:rsid w:val="00165023"/>
    <w:rsid w:val="001672FD"/>
    <w:rsid w:val="00173D95"/>
    <w:rsid w:val="0018506A"/>
    <w:rsid w:val="0019007C"/>
    <w:rsid w:val="00193DBC"/>
    <w:rsid w:val="00194716"/>
    <w:rsid w:val="00196391"/>
    <w:rsid w:val="00196BA4"/>
    <w:rsid w:val="00196E4D"/>
    <w:rsid w:val="001A21DA"/>
    <w:rsid w:val="001A330E"/>
    <w:rsid w:val="001A3883"/>
    <w:rsid w:val="001B5FF8"/>
    <w:rsid w:val="001B6B90"/>
    <w:rsid w:val="001C0316"/>
    <w:rsid w:val="001C10A9"/>
    <w:rsid w:val="001C613B"/>
    <w:rsid w:val="001C732E"/>
    <w:rsid w:val="001D20DF"/>
    <w:rsid w:val="001D773D"/>
    <w:rsid w:val="00202CB3"/>
    <w:rsid w:val="00203337"/>
    <w:rsid w:val="00203711"/>
    <w:rsid w:val="002041ED"/>
    <w:rsid w:val="00213EA6"/>
    <w:rsid w:val="002152B3"/>
    <w:rsid w:val="0021747E"/>
    <w:rsid w:val="00220665"/>
    <w:rsid w:val="002228DC"/>
    <w:rsid w:val="0022434F"/>
    <w:rsid w:val="00224593"/>
    <w:rsid w:val="00225FD5"/>
    <w:rsid w:val="00227C11"/>
    <w:rsid w:val="00232B54"/>
    <w:rsid w:val="002347FB"/>
    <w:rsid w:val="002354C7"/>
    <w:rsid w:val="00237169"/>
    <w:rsid w:val="002432A5"/>
    <w:rsid w:val="002561F1"/>
    <w:rsid w:val="00261AA5"/>
    <w:rsid w:val="002624AF"/>
    <w:rsid w:val="0027571B"/>
    <w:rsid w:val="00276FDE"/>
    <w:rsid w:val="00277A73"/>
    <w:rsid w:val="00277DF5"/>
    <w:rsid w:val="00283CCD"/>
    <w:rsid w:val="002939CF"/>
    <w:rsid w:val="002B0157"/>
    <w:rsid w:val="002B5096"/>
    <w:rsid w:val="002B7C11"/>
    <w:rsid w:val="002C0B25"/>
    <w:rsid w:val="002C7B4F"/>
    <w:rsid w:val="002D39F3"/>
    <w:rsid w:val="002D7D18"/>
    <w:rsid w:val="002E0240"/>
    <w:rsid w:val="002E211E"/>
    <w:rsid w:val="002E41B5"/>
    <w:rsid w:val="002F2AC9"/>
    <w:rsid w:val="002F3217"/>
    <w:rsid w:val="002F583C"/>
    <w:rsid w:val="002F6AD7"/>
    <w:rsid w:val="00302843"/>
    <w:rsid w:val="00304555"/>
    <w:rsid w:val="003147E4"/>
    <w:rsid w:val="0032450E"/>
    <w:rsid w:val="003338CF"/>
    <w:rsid w:val="003338EB"/>
    <w:rsid w:val="00337399"/>
    <w:rsid w:val="0035360E"/>
    <w:rsid w:val="00363777"/>
    <w:rsid w:val="003674FE"/>
    <w:rsid w:val="0036783C"/>
    <w:rsid w:val="00377147"/>
    <w:rsid w:val="00384324"/>
    <w:rsid w:val="0038577F"/>
    <w:rsid w:val="00394378"/>
    <w:rsid w:val="00396F42"/>
    <w:rsid w:val="003A156F"/>
    <w:rsid w:val="003A2FA6"/>
    <w:rsid w:val="003A7E67"/>
    <w:rsid w:val="003B0FFC"/>
    <w:rsid w:val="003B62EE"/>
    <w:rsid w:val="003C2122"/>
    <w:rsid w:val="003C3645"/>
    <w:rsid w:val="003C6C02"/>
    <w:rsid w:val="003D2314"/>
    <w:rsid w:val="003D62C0"/>
    <w:rsid w:val="003E53F2"/>
    <w:rsid w:val="0040283D"/>
    <w:rsid w:val="0040589B"/>
    <w:rsid w:val="004136D3"/>
    <w:rsid w:val="00414123"/>
    <w:rsid w:val="004226AD"/>
    <w:rsid w:val="004325A1"/>
    <w:rsid w:val="00454E95"/>
    <w:rsid w:val="00465929"/>
    <w:rsid w:val="00472B59"/>
    <w:rsid w:val="00474A96"/>
    <w:rsid w:val="00476E76"/>
    <w:rsid w:val="00494A9A"/>
    <w:rsid w:val="0049703E"/>
    <w:rsid w:val="004977D1"/>
    <w:rsid w:val="004A0CDF"/>
    <w:rsid w:val="004B433F"/>
    <w:rsid w:val="004C74C7"/>
    <w:rsid w:val="004D0B93"/>
    <w:rsid w:val="004D1F3E"/>
    <w:rsid w:val="004D283F"/>
    <w:rsid w:val="004D404A"/>
    <w:rsid w:val="004F131C"/>
    <w:rsid w:val="00500683"/>
    <w:rsid w:val="00501D12"/>
    <w:rsid w:val="00501F3C"/>
    <w:rsid w:val="0050456F"/>
    <w:rsid w:val="00504EDB"/>
    <w:rsid w:val="0051557E"/>
    <w:rsid w:val="0052797B"/>
    <w:rsid w:val="00534D99"/>
    <w:rsid w:val="00537780"/>
    <w:rsid w:val="00547F37"/>
    <w:rsid w:val="0055092E"/>
    <w:rsid w:val="00555A8F"/>
    <w:rsid w:val="00557CE9"/>
    <w:rsid w:val="00561DB6"/>
    <w:rsid w:val="0056256E"/>
    <w:rsid w:val="00563447"/>
    <w:rsid w:val="00570B59"/>
    <w:rsid w:val="00575088"/>
    <w:rsid w:val="00577C6F"/>
    <w:rsid w:val="00585857"/>
    <w:rsid w:val="005875A7"/>
    <w:rsid w:val="005915BE"/>
    <w:rsid w:val="00592F37"/>
    <w:rsid w:val="00594805"/>
    <w:rsid w:val="00594AA8"/>
    <w:rsid w:val="005A4183"/>
    <w:rsid w:val="005A72B7"/>
    <w:rsid w:val="005B287D"/>
    <w:rsid w:val="005E52D5"/>
    <w:rsid w:val="005F3976"/>
    <w:rsid w:val="0060179C"/>
    <w:rsid w:val="00604B93"/>
    <w:rsid w:val="006077DA"/>
    <w:rsid w:val="00614130"/>
    <w:rsid w:val="00616A2A"/>
    <w:rsid w:val="0062760A"/>
    <w:rsid w:val="0063188E"/>
    <w:rsid w:val="0063501B"/>
    <w:rsid w:val="006364DB"/>
    <w:rsid w:val="00645700"/>
    <w:rsid w:val="00657B51"/>
    <w:rsid w:val="00660585"/>
    <w:rsid w:val="00663D9C"/>
    <w:rsid w:val="00672F20"/>
    <w:rsid w:val="00677130"/>
    <w:rsid w:val="006773A3"/>
    <w:rsid w:val="006848AD"/>
    <w:rsid w:val="00690CBC"/>
    <w:rsid w:val="006911AF"/>
    <w:rsid w:val="00694538"/>
    <w:rsid w:val="00694982"/>
    <w:rsid w:val="006A2176"/>
    <w:rsid w:val="006A2BB2"/>
    <w:rsid w:val="006A2F7C"/>
    <w:rsid w:val="006A5220"/>
    <w:rsid w:val="006A5235"/>
    <w:rsid w:val="006A5503"/>
    <w:rsid w:val="006B0DCE"/>
    <w:rsid w:val="006B1E9E"/>
    <w:rsid w:val="006B1F21"/>
    <w:rsid w:val="006B43DA"/>
    <w:rsid w:val="006B4D57"/>
    <w:rsid w:val="006B67F3"/>
    <w:rsid w:val="006B7F6D"/>
    <w:rsid w:val="006C2018"/>
    <w:rsid w:val="006C7A9F"/>
    <w:rsid w:val="006E286B"/>
    <w:rsid w:val="006E6C76"/>
    <w:rsid w:val="006E7E7E"/>
    <w:rsid w:val="006F6E97"/>
    <w:rsid w:val="007069B7"/>
    <w:rsid w:val="007118A2"/>
    <w:rsid w:val="00712CD5"/>
    <w:rsid w:val="00716841"/>
    <w:rsid w:val="00724756"/>
    <w:rsid w:val="00725BE6"/>
    <w:rsid w:val="007265DC"/>
    <w:rsid w:val="007279AE"/>
    <w:rsid w:val="0073073D"/>
    <w:rsid w:val="00730BB6"/>
    <w:rsid w:val="007314CE"/>
    <w:rsid w:val="007328E3"/>
    <w:rsid w:val="0073327D"/>
    <w:rsid w:val="00733284"/>
    <w:rsid w:val="0073525E"/>
    <w:rsid w:val="00740CAB"/>
    <w:rsid w:val="00747E3E"/>
    <w:rsid w:val="00751D05"/>
    <w:rsid w:val="00755525"/>
    <w:rsid w:val="007612D6"/>
    <w:rsid w:val="00775A53"/>
    <w:rsid w:val="00777F08"/>
    <w:rsid w:val="00781DBA"/>
    <w:rsid w:val="007865F1"/>
    <w:rsid w:val="00787DD6"/>
    <w:rsid w:val="0079052E"/>
    <w:rsid w:val="007930E5"/>
    <w:rsid w:val="007A19E0"/>
    <w:rsid w:val="007A25F1"/>
    <w:rsid w:val="007A3F06"/>
    <w:rsid w:val="007B3700"/>
    <w:rsid w:val="007B389D"/>
    <w:rsid w:val="007B707E"/>
    <w:rsid w:val="007B7FCD"/>
    <w:rsid w:val="007C41FE"/>
    <w:rsid w:val="007C45F4"/>
    <w:rsid w:val="007C67B0"/>
    <w:rsid w:val="007D21B5"/>
    <w:rsid w:val="007D4517"/>
    <w:rsid w:val="007D47DD"/>
    <w:rsid w:val="007E058C"/>
    <w:rsid w:val="007E70BB"/>
    <w:rsid w:val="007F2321"/>
    <w:rsid w:val="007F31E0"/>
    <w:rsid w:val="00817581"/>
    <w:rsid w:val="008244E0"/>
    <w:rsid w:val="0082514C"/>
    <w:rsid w:val="00826432"/>
    <w:rsid w:val="00830F07"/>
    <w:rsid w:val="008360B5"/>
    <w:rsid w:val="00844079"/>
    <w:rsid w:val="00845B9F"/>
    <w:rsid w:val="00846745"/>
    <w:rsid w:val="00847A4F"/>
    <w:rsid w:val="008563F5"/>
    <w:rsid w:val="00856CD5"/>
    <w:rsid w:val="00860DC6"/>
    <w:rsid w:val="00862EA2"/>
    <w:rsid w:val="008655FC"/>
    <w:rsid w:val="00870311"/>
    <w:rsid w:val="00874E31"/>
    <w:rsid w:val="00876492"/>
    <w:rsid w:val="00877FC7"/>
    <w:rsid w:val="00882C33"/>
    <w:rsid w:val="00884BDD"/>
    <w:rsid w:val="00890007"/>
    <w:rsid w:val="00890F1B"/>
    <w:rsid w:val="008A0936"/>
    <w:rsid w:val="008A1861"/>
    <w:rsid w:val="008A2579"/>
    <w:rsid w:val="008C2E2E"/>
    <w:rsid w:val="008C5A2B"/>
    <w:rsid w:val="008E2BC9"/>
    <w:rsid w:val="008F35FC"/>
    <w:rsid w:val="008F3B90"/>
    <w:rsid w:val="008F5112"/>
    <w:rsid w:val="009049AE"/>
    <w:rsid w:val="00906D73"/>
    <w:rsid w:val="0091766D"/>
    <w:rsid w:val="0092551A"/>
    <w:rsid w:val="00927EFE"/>
    <w:rsid w:val="009329F3"/>
    <w:rsid w:val="009377FB"/>
    <w:rsid w:val="009452E0"/>
    <w:rsid w:val="009463DC"/>
    <w:rsid w:val="00947505"/>
    <w:rsid w:val="0095722E"/>
    <w:rsid w:val="00961A06"/>
    <w:rsid w:val="009679EB"/>
    <w:rsid w:val="00972C0B"/>
    <w:rsid w:val="00976CFE"/>
    <w:rsid w:val="00984B12"/>
    <w:rsid w:val="00986C27"/>
    <w:rsid w:val="00995893"/>
    <w:rsid w:val="009B0117"/>
    <w:rsid w:val="009B6C95"/>
    <w:rsid w:val="009B7D61"/>
    <w:rsid w:val="009C1A1E"/>
    <w:rsid w:val="009C7929"/>
    <w:rsid w:val="009E20AF"/>
    <w:rsid w:val="009E6096"/>
    <w:rsid w:val="009E6A88"/>
    <w:rsid w:val="009F13BC"/>
    <w:rsid w:val="009F3ED1"/>
    <w:rsid w:val="009F4AC8"/>
    <w:rsid w:val="00A105FE"/>
    <w:rsid w:val="00A21DD0"/>
    <w:rsid w:val="00A24A77"/>
    <w:rsid w:val="00A25664"/>
    <w:rsid w:val="00A307D4"/>
    <w:rsid w:val="00A443FA"/>
    <w:rsid w:val="00A461E9"/>
    <w:rsid w:val="00A473C5"/>
    <w:rsid w:val="00A52ACF"/>
    <w:rsid w:val="00A534CB"/>
    <w:rsid w:val="00A5555C"/>
    <w:rsid w:val="00A55ADD"/>
    <w:rsid w:val="00A56AA9"/>
    <w:rsid w:val="00A64F7A"/>
    <w:rsid w:val="00A72FA5"/>
    <w:rsid w:val="00A7563D"/>
    <w:rsid w:val="00A827EF"/>
    <w:rsid w:val="00A830A8"/>
    <w:rsid w:val="00A83CAB"/>
    <w:rsid w:val="00A87B4A"/>
    <w:rsid w:val="00A95D21"/>
    <w:rsid w:val="00AA4054"/>
    <w:rsid w:val="00AA4CD2"/>
    <w:rsid w:val="00AA5FE9"/>
    <w:rsid w:val="00AB58DF"/>
    <w:rsid w:val="00AC7E3A"/>
    <w:rsid w:val="00AE366E"/>
    <w:rsid w:val="00AE3D30"/>
    <w:rsid w:val="00AE3DBF"/>
    <w:rsid w:val="00AE549C"/>
    <w:rsid w:val="00AE761A"/>
    <w:rsid w:val="00AF20C2"/>
    <w:rsid w:val="00AF3257"/>
    <w:rsid w:val="00AF5355"/>
    <w:rsid w:val="00B059D8"/>
    <w:rsid w:val="00B13564"/>
    <w:rsid w:val="00B17B52"/>
    <w:rsid w:val="00B26286"/>
    <w:rsid w:val="00B27A8E"/>
    <w:rsid w:val="00B30888"/>
    <w:rsid w:val="00B44504"/>
    <w:rsid w:val="00B44E2D"/>
    <w:rsid w:val="00B51197"/>
    <w:rsid w:val="00B60E00"/>
    <w:rsid w:val="00B63458"/>
    <w:rsid w:val="00B657F7"/>
    <w:rsid w:val="00B6625B"/>
    <w:rsid w:val="00B73D64"/>
    <w:rsid w:val="00B76EDF"/>
    <w:rsid w:val="00B80D72"/>
    <w:rsid w:val="00B87E08"/>
    <w:rsid w:val="00B93545"/>
    <w:rsid w:val="00BA0F62"/>
    <w:rsid w:val="00BA46FA"/>
    <w:rsid w:val="00BA49BA"/>
    <w:rsid w:val="00BB6CBF"/>
    <w:rsid w:val="00BC0AA4"/>
    <w:rsid w:val="00BC3850"/>
    <w:rsid w:val="00BC3DC4"/>
    <w:rsid w:val="00BC7405"/>
    <w:rsid w:val="00BE0090"/>
    <w:rsid w:val="00BE0D95"/>
    <w:rsid w:val="00BE6794"/>
    <w:rsid w:val="00BF54D8"/>
    <w:rsid w:val="00C0413A"/>
    <w:rsid w:val="00C0633E"/>
    <w:rsid w:val="00C13E3A"/>
    <w:rsid w:val="00C230DE"/>
    <w:rsid w:val="00C239F9"/>
    <w:rsid w:val="00C24670"/>
    <w:rsid w:val="00C31CD1"/>
    <w:rsid w:val="00C3201F"/>
    <w:rsid w:val="00C37CFE"/>
    <w:rsid w:val="00C50729"/>
    <w:rsid w:val="00C512F7"/>
    <w:rsid w:val="00C611B1"/>
    <w:rsid w:val="00C66C95"/>
    <w:rsid w:val="00C74196"/>
    <w:rsid w:val="00C77952"/>
    <w:rsid w:val="00C80B0A"/>
    <w:rsid w:val="00C84DBF"/>
    <w:rsid w:val="00C86B5E"/>
    <w:rsid w:val="00CA024F"/>
    <w:rsid w:val="00CA3A16"/>
    <w:rsid w:val="00CA4222"/>
    <w:rsid w:val="00CA5E25"/>
    <w:rsid w:val="00CA7FD5"/>
    <w:rsid w:val="00CB2885"/>
    <w:rsid w:val="00CC2243"/>
    <w:rsid w:val="00CC473C"/>
    <w:rsid w:val="00CC54A0"/>
    <w:rsid w:val="00CD59DC"/>
    <w:rsid w:val="00CE32D9"/>
    <w:rsid w:val="00CF3DAA"/>
    <w:rsid w:val="00D00F84"/>
    <w:rsid w:val="00D041EB"/>
    <w:rsid w:val="00D053CC"/>
    <w:rsid w:val="00D07B35"/>
    <w:rsid w:val="00D11454"/>
    <w:rsid w:val="00D11D86"/>
    <w:rsid w:val="00D13318"/>
    <w:rsid w:val="00D1532B"/>
    <w:rsid w:val="00D21F47"/>
    <w:rsid w:val="00D230BE"/>
    <w:rsid w:val="00D24488"/>
    <w:rsid w:val="00D4734F"/>
    <w:rsid w:val="00D5408A"/>
    <w:rsid w:val="00D5780B"/>
    <w:rsid w:val="00D63D89"/>
    <w:rsid w:val="00D8238C"/>
    <w:rsid w:val="00D82586"/>
    <w:rsid w:val="00D9178A"/>
    <w:rsid w:val="00DA27F4"/>
    <w:rsid w:val="00DA2ECE"/>
    <w:rsid w:val="00DA4F58"/>
    <w:rsid w:val="00DA5AB9"/>
    <w:rsid w:val="00DA5DA1"/>
    <w:rsid w:val="00DA7979"/>
    <w:rsid w:val="00DA7CA8"/>
    <w:rsid w:val="00DB26C3"/>
    <w:rsid w:val="00DC0AF2"/>
    <w:rsid w:val="00DD2E2E"/>
    <w:rsid w:val="00DD7D8C"/>
    <w:rsid w:val="00DE23AD"/>
    <w:rsid w:val="00DE5087"/>
    <w:rsid w:val="00DF1F22"/>
    <w:rsid w:val="00DF7489"/>
    <w:rsid w:val="00E13A6F"/>
    <w:rsid w:val="00E21BE1"/>
    <w:rsid w:val="00E575E2"/>
    <w:rsid w:val="00E578F7"/>
    <w:rsid w:val="00E6371F"/>
    <w:rsid w:val="00E65163"/>
    <w:rsid w:val="00E75A84"/>
    <w:rsid w:val="00E869E9"/>
    <w:rsid w:val="00E918EB"/>
    <w:rsid w:val="00E91F58"/>
    <w:rsid w:val="00E9346A"/>
    <w:rsid w:val="00E94A7E"/>
    <w:rsid w:val="00E96EBD"/>
    <w:rsid w:val="00EB440D"/>
    <w:rsid w:val="00EB51B6"/>
    <w:rsid w:val="00EC0AD1"/>
    <w:rsid w:val="00EC59F8"/>
    <w:rsid w:val="00EC68CC"/>
    <w:rsid w:val="00ED4709"/>
    <w:rsid w:val="00EE0622"/>
    <w:rsid w:val="00EE2D86"/>
    <w:rsid w:val="00EE3D75"/>
    <w:rsid w:val="00EE5E9F"/>
    <w:rsid w:val="00EF2181"/>
    <w:rsid w:val="00F0483B"/>
    <w:rsid w:val="00F07844"/>
    <w:rsid w:val="00F118A8"/>
    <w:rsid w:val="00F14691"/>
    <w:rsid w:val="00F15BB5"/>
    <w:rsid w:val="00F17A24"/>
    <w:rsid w:val="00F32CEE"/>
    <w:rsid w:val="00F35218"/>
    <w:rsid w:val="00F52001"/>
    <w:rsid w:val="00F538FF"/>
    <w:rsid w:val="00F54628"/>
    <w:rsid w:val="00F56CA6"/>
    <w:rsid w:val="00F61176"/>
    <w:rsid w:val="00F66C73"/>
    <w:rsid w:val="00F71E98"/>
    <w:rsid w:val="00F76449"/>
    <w:rsid w:val="00F80B19"/>
    <w:rsid w:val="00F84AD8"/>
    <w:rsid w:val="00FB0F93"/>
    <w:rsid w:val="00FC5B3F"/>
    <w:rsid w:val="00FD2B01"/>
    <w:rsid w:val="00FD2E3C"/>
    <w:rsid w:val="00FE0969"/>
    <w:rsid w:val="00FE7625"/>
    <w:rsid w:val="00FF3717"/>
    <w:rsid w:val="00FF7429"/>
    <w:rsid w:val="05356D03"/>
    <w:rsid w:val="2C69F712"/>
    <w:rsid w:val="62988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EEC5FF"/>
  <w15:chartTrackingRefBased/>
  <w15:docId w15:val="{E63ADFD1-86FB-4064-A4F3-2AE43C3F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C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7C1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F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FA6"/>
  </w:style>
  <w:style w:type="paragraph" w:styleId="Pieddepage">
    <w:name w:val="footer"/>
    <w:basedOn w:val="Normal"/>
    <w:link w:val="PieddepageCar"/>
    <w:uiPriority w:val="99"/>
    <w:unhideWhenUsed/>
    <w:rsid w:val="003A2F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FA6"/>
  </w:style>
  <w:style w:type="table" w:styleId="Grilledutableau">
    <w:name w:val="Table Grid"/>
    <w:basedOn w:val="TableauNormal"/>
    <w:uiPriority w:val="39"/>
    <w:rsid w:val="00C6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AA5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CA"/>
    </w:rPr>
  </w:style>
  <w:style w:type="paragraph" w:styleId="Sansinterligne">
    <w:name w:val="No Spacing"/>
    <w:uiPriority w:val="1"/>
    <w:qFormat/>
    <w:rsid w:val="002B7C11"/>
    <w:pPr>
      <w:spacing w:after="0" w:line="240" w:lineRule="auto"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2B7C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7C11"/>
    <w:pPr>
      <w:spacing w:after="200" w:line="240" w:lineRule="auto"/>
    </w:pPr>
    <w:rPr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7C11"/>
    <w:rPr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C1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04DB6"/>
    <w:pPr>
      <w:spacing w:after="0" w:line="240" w:lineRule="auto"/>
    </w:pPr>
    <w:rPr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4DB6"/>
    <w:rPr>
      <w:sz w:val="20"/>
      <w:szCs w:val="20"/>
      <w:lang w:val="en-CA"/>
    </w:rPr>
  </w:style>
  <w:style w:type="character" w:styleId="Appelnotedebasdep">
    <w:name w:val="footnote reference"/>
    <w:basedOn w:val="Policepardfaut"/>
    <w:uiPriority w:val="99"/>
    <w:unhideWhenUsed/>
    <w:rsid w:val="00004DB6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77F"/>
    <w:pPr>
      <w:spacing w:after="160"/>
    </w:pPr>
    <w:rPr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77F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ie.frenette@umoncton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see.org/8-princip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894-9E0B-46A2-A286-635AC99A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2451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Frenette</dc:creator>
  <cp:keywords/>
  <dc:description/>
  <cp:lastModifiedBy>Emilie Frenette</cp:lastModifiedBy>
  <cp:revision>16</cp:revision>
  <cp:lastPrinted>2018-11-19T18:07:00Z</cp:lastPrinted>
  <dcterms:created xsi:type="dcterms:W3CDTF">2019-01-08T14:50:00Z</dcterms:created>
  <dcterms:modified xsi:type="dcterms:W3CDTF">2019-01-09T17:24:00Z</dcterms:modified>
</cp:coreProperties>
</file>