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tbl>
      <w:tblPr>
        <w:tblpPr w:leftFromText="141" w:rightFromText="141" w:vertAnchor="text" w:tblpY="1"/>
        <w:tblOverlap w:val="never"/>
        <w:tblW w:w="11400" w:type="dxa"/>
        <w:tblCellSpacing w:w="0" w:type="dxa"/>
        <w:tblInd w:w="780" w:type="dxa"/>
        <w:shd w:val="clear" w:color="auto" w:fill="FFFFFF"/>
        <w:tblCellMar>
          <w:left w:w="0" w:type="dxa"/>
          <w:right w:w="0" w:type="dxa"/>
        </w:tblCellMar>
        <w:tblLook w:val="04A0" w:firstRow="1" w:lastRow="0" w:firstColumn="1" w:lastColumn="0" w:noHBand="0" w:noVBand="1"/>
      </w:tblPr>
      <w:tblGrid>
        <w:gridCol w:w="11400"/>
      </w:tblGrid>
      <w:tr w:rsidR="00054F73" w:rsidTr="00054F73">
        <w:trPr>
          <w:tblCellSpacing w:w="0" w:type="dxa"/>
        </w:trPr>
        <w:tc>
          <w:tcPr>
            <w:tcW w:w="0" w:type="auto"/>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25"/>
              <w:gridCol w:w="1975"/>
            </w:tblGrid>
            <w:tr w:rsidR="00054F73">
              <w:trPr>
                <w:tblCellSpacing w:w="0" w:type="dxa"/>
                <w:jc w:val="center"/>
              </w:trPr>
              <w:tc>
                <w:tcPr>
                  <w:tcW w:w="0" w:type="auto"/>
                  <w:hideMark/>
                </w:tcPr>
                <w:p w:rsidR="00054F73" w:rsidRDefault="00054F73" w:rsidP="00054F73">
                  <w:pPr>
                    <w:framePr w:hSpace="141" w:wrap="around" w:vAnchor="text" w:hAnchor="text" w:y="1"/>
                    <w:suppressOverlap/>
                  </w:pPr>
                  <w:r w:rsidRPr="00054F73">
                    <w:rPr>
                      <w:lang w:val="en-CA"/>
                    </w:rPr>
                    <w:t> </w:t>
                  </w:r>
                  <w:r>
                    <w:rPr>
                      <w:noProof/>
                    </w:rPr>
                    <w:drawing>
                      <wp:inline distT="0" distB="0" distL="0" distR="0" wp14:anchorId="50B6E95F" wp14:editId="1423C060">
                        <wp:extent cx="3779520" cy="236220"/>
                        <wp:effectExtent l="0" t="0" r="0" b="0"/>
                        <wp:docPr id="3" name="Image 3" descr="http://www.nserc-crsng.gc.ca/_gui/fip_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serc-crsng.gc.ca/_gui/fip_f.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9520" cy="236220"/>
                                </a:xfrm>
                                <a:prstGeom prst="rect">
                                  <a:avLst/>
                                </a:prstGeom>
                                <a:noFill/>
                                <a:ln>
                                  <a:noFill/>
                                </a:ln>
                              </pic:spPr>
                            </pic:pic>
                          </a:graphicData>
                        </a:graphic>
                      </wp:inline>
                    </w:drawing>
                  </w:r>
                </w:p>
              </w:tc>
              <w:tc>
                <w:tcPr>
                  <w:tcW w:w="0" w:type="auto"/>
                  <w:vAlign w:val="center"/>
                  <w:hideMark/>
                </w:tcPr>
                <w:p w:rsidR="00054F73" w:rsidRDefault="00054F73" w:rsidP="00054F73">
                  <w:pPr>
                    <w:framePr w:hSpace="141" w:wrap="around" w:vAnchor="text" w:hAnchor="text" w:y="1"/>
                    <w:suppressOverlap/>
                    <w:jc w:val="right"/>
                  </w:pPr>
                  <w:r>
                    <w:rPr>
                      <w:noProof/>
                    </w:rPr>
                    <w:drawing>
                      <wp:inline distT="0" distB="0" distL="0" distR="0" wp14:anchorId="3A97D4B4" wp14:editId="6DC7CF36">
                        <wp:extent cx="792480" cy="190500"/>
                        <wp:effectExtent l="0" t="0" r="7620" b="0"/>
                        <wp:docPr id="2" name="Image 2" descr="http://www.nserc-crsng.gc.ca/_gui/wm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serc-crsng.gc.ca/_gui/wmm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2480" cy="190500"/>
                                </a:xfrm>
                                <a:prstGeom prst="rect">
                                  <a:avLst/>
                                </a:prstGeom>
                                <a:noFill/>
                                <a:ln>
                                  <a:noFill/>
                                </a:ln>
                              </pic:spPr>
                            </pic:pic>
                          </a:graphicData>
                        </a:graphic>
                      </wp:inline>
                    </w:drawing>
                  </w:r>
                </w:p>
              </w:tc>
            </w:tr>
          </w:tbl>
          <w:p w:rsidR="00054F73" w:rsidRDefault="00054F73" w:rsidP="00054F73">
            <w:r>
              <w:t> </w:t>
            </w:r>
          </w:p>
          <w:tbl>
            <w:tblPr>
              <w:tblW w:w="5000" w:type="pct"/>
              <w:jc w:val="center"/>
              <w:tblCellSpacing w:w="0" w:type="dxa"/>
              <w:tblCellMar>
                <w:left w:w="0" w:type="dxa"/>
                <w:right w:w="0" w:type="dxa"/>
              </w:tblCellMar>
              <w:tblLook w:val="04A0" w:firstRow="1" w:lastRow="0" w:firstColumn="1" w:lastColumn="0" w:noHBand="0" w:noVBand="1"/>
            </w:tblPr>
            <w:tblGrid>
              <w:gridCol w:w="11400"/>
            </w:tblGrid>
            <w:tr w:rsidR="00054F73">
              <w:trPr>
                <w:tblCellSpacing w:w="0" w:type="dxa"/>
                <w:jc w:val="center"/>
              </w:trPr>
              <w:tc>
                <w:tcPr>
                  <w:tcW w:w="0" w:type="auto"/>
                  <w:vAlign w:val="bottom"/>
                  <w:hideMark/>
                </w:tcPr>
                <w:p w:rsidR="00054F73" w:rsidRDefault="00054F73" w:rsidP="00054F73">
                  <w:pPr>
                    <w:framePr w:hSpace="141" w:wrap="around" w:vAnchor="text" w:hAnchor="text" w:y="1"/>
                    <w:suppressOverlap/>
                    <w:rPr>
                      <w:rFonts w:eastAsia="Times New Roman"/>
                      <w:sz w:val="20"/>
                      <w:szCs w:val="20"/>
                    </w:rPr>
                  </w:pPr>
                </w:p>
              </w:tc>
            </w:tr>
          </w:tbl>
          <w:p w:rsidR="00054F73" w:rsidRDefault="00054F73" w:rsidP="00054F73">
            <w:r>
              <w:t> </w:t>
            </w:r>
          </w:p>
          <w:tbl>
            <w:tblPr>
              <w:tblW w:w="5000" w:type="pct"/>
              <w:jc w:val="center"/>
              <w:tblCellSpacing w:w="0" w:type="dxa"/>
              <w:tblCellMar>
                <w:left w:w="0" w:type="dxa"/>
                <w:right w:w="0" w:type="dxa"/>
              </w:tblCellMar>
              <w:tblLook w:val="04A0" w:firstRow="1" w:lastRow="0" w:firstColumn="1" w:lastColumn="0" w:noHBand="0" w:noVBand="1"/>
            </w:tblPr>
            <w:tblGrid>
              <w:gridCol w:w="11400"/>
            </w:tblGrid>
            <w:tr w:rsidR="00054F73">
              <w:trPr>
                <w:tblCellSpacing w:w="0" w:type="dxa"/>
                <w:jc w:val="center"/>
              </w:trPr>
              <w:tc>
                <w:tcPr>
                  <w:tcW w:w="0" w:type="auto"/>
                  <w:hideMark/>
                </w:tcPr>
                <w:p w:rsidR="00054F73" w:rsidRDefault="00054F73" w:rsidP="00054F73">
                  <w:pPr>
                    <w:framePr w:hSpace="141" w:wrap="around" w:vAnchor="text" w:hAnchor="text" w:y="1"/>
                    <w:suppressOverlap/>
                  </w:pPr>
                  <w:r>
                    <w:rPr>
                      <w:noProof/>
                    </w:rPr>
                    <w:drawing>
                      <wp:inline distT="0" distB="0" distL="0" distR="0" wp14:anchorId="256531F2" wp14:editId="3639D6F9">
                        <wp:extent cx="7239000" cy="335280"/>
                        <wp:effectExtent l="0" t="0" r="0" b="7620"/>
                        <wp:docPr id="1" name="Image 1" descr="http://www.nserc-crsng.gc.ca/_gui/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serc-crsng.gc.ca/_gui/bran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0" cy="335280"/>
                                </a:xfrm>
                                <a:prstGeom prst="rect">
                                  <a:avLst/>
                                </a:prstGeom>
                                <a:noFill/>
                                <a:ln>
                                  <a:noFill/>
                                </a:ln>
                              </pic:spPr>
                            </pic:pic>
                          </a:graphicData>
                        </a:graphic>
                      </wp:inline>
                    </w:drawing>
                  </w:r>
                </w:p>
              </w:tc>
            </w:tr>
          </w:tbl>
          <w:p w:rsidR="00054F73" w:rsidRDefault="00054F73" w:rsidP="00054F73">
            <w:r>
              <w:t> </w:t>
            </w:r>
          </w:p>
          <w:tbl>
            <w:tblPr>
              <w:tblW w:w="5000" w:type="pct"/>
              <w:jc w:val="center"/>
              <w:tblCellSpacing w:w="0" w:type="dxa"/>
              <w:tblBorders>
                <w:top w:val="single" w:sz="24" w:space="0" w:color="CC0000"/>
              </w:tblBorders>
              <w:tblCellMar>
                <w:left w:w="0" w:type="dxa"/>
                <w:right w:w="0" w:type="dxa"/>
              </w:tblCellMar>
              <w:tblLook w:val="04A0" w:firstRow="1" w:lastRow="0" w:firstColumn="1" w:lastColumn="0" w:noHBand="0" w:noVBand="1"/>
            </w:tblPr>
            <w:tblGrid>
              <w:gridCol w:w="11400"/>
            </w:tblGrid>
            <w:tr w:rsidR="00054F73">
              <w:trPr>
                <w:tblCellSpacing w:w="0" w:type="dxa"/>
                <w:jc w:val="center"/>
              </w:trPr>
              <w:tc>
                <w:tcPr>
                  <w:tcW w:w="0" w:type="auto"/>
                  <w:tcBorders>
                    <w:top w:val="nil"/>
                    <w:left w:val="nil"/>
                    <w:bottom w:val="nil"/>
                    <w:right w:val="nil"/>
                  </w:tcBorders>
                  <w:hideMark/>
                </w:tcPr>
                <w:p w:rsidR="00054F73" w:rsidRDefault="00054F73" w:rsidP="00054F73">
                  <w:pPr>
                    <w:framePr w:hSpace="141" w:wrap="around" w:vAnchor="text" w:hAnchor="text" w:y="1"/>
                    <w:suppressOverlap/>
                  </w:pPr>
                  <w:r>
                    <w:rPr>
                      <w:rFonts w:ascii="Arial" w:hAnsi="Arial" w:cs="Arial"/>
                      <w:b/>
                      <w:bCs/>
                      <w:color w:val="333333"/>
                      <w:sz w:val="30"/>
                      <w:szCs w:val="30"/>
                    </w:rPr>
                    <w:t>Le point sur le Portail de recherche du CRSNG et le CV commun canadien</w:t>
                  </w:r>
                </w:p>
                <w:p w:rsidR="00054F73" w:rsidRDefault="00054F73" w:rsidP="00054F73">
                  <w:pPr>
                    <w:pStyle w:val="NormalWeb"/>
                    <w:framePr w:hSpace="141" w:wrap="around" w:vAnchor="text" w:hAnchor="text" w:y="1"/>
                    <w:suppressOverlap/>
                  </w:pPr>
                  <w:r>
                    <w:rPr>
                      <w:rFonts w:ascii="Georgia" w:hAnsi="Georgia"/>
                      <w:color w:val="333333"/>
                      <w:sz w:val="18"/>
                      <w:szCs w:val="18"/>
                    </w:rPr>
                    <w:t xml:space="preserve">Le CRSNG mettra en œuvre son portail de recherche et commencera à utiliser le </w:t>
                  </w:r>
                  <w:hyperlink r:id="rId8" w:history="1">
                    <w:r>
                      <w:rPr>
                        <w:rStyle w:val="Lienhypertexte"/>
                        <w:rFonts w:ascii="Georgia" w:hAnsi="Georgia"/>
                        <w:sz w:val="18"/>
                        <w:szCs w:val="18"/>
                      </w:rPr>
                      <w:t>CV commun canadien</w:t>
                    </w:r>
                  </w:hyperlink>
                  <w:r>
                    <w:rPr>
                      <w:rFonts w:ascii="Georgia" w:hAnsi="Georgia"/>
                      <w:color w:val="333333"/>
                      <w:sz w:val="18"/>
                      <w:szCs w:val="18"/>
                    </w:rPr>
                    <w:t xml:space="preserve"> (CVC) au printemps 2013. Le Portail de recherche sera utilisé pour gérer les processus de présentation des demandes et d'évaluation par les pairs, l'acceptation des subventions et des bourses, l'annonce des résultats et l'Établissement des rapports.</w:t>
                  </w:r>
                </w:p>
                <w:p w:rsidR="00054F73" w:rsidRDefault="00054F73" w:rsidP="00054F73">
                  <w:pPr>
                    <w:pStyle w:val="NormalWeb"/>
                    <w:framePr w:hSpace="141" w:wrap="around" w:vAnchor="text" w:hAnchor="text" w:y="1"/>
                    <w:suppressOverlap/>
                  </w:pPr>
                  <w:r>
                    <w:rPr>
                      <w:rFonts w:ascii="Georgia" w:hAnsi="Georgia"/>
                      <w:color w:val="333333"/>
                      <w:sz w:val="18"/>
                      <w:szCs w:val="18"/>
                    </w:rPr>
                    <w:t>La transition au Portail de recherche et au CVC s'effectuera graduellement (c'est-à-dire une possibilité de financement à la fois) en commençant par l'avis d'intention pour les subventions à la découverte (individuelles et d'équipe) et par tous les types de subventions de projets en physique subatomique, puis en poursuivant avec les subventions de recherche et développement coopérative. Les détails et les dates seront communiqués à mesure que nous approcherons de la date de mise en œuvre du Portail de recherche.</w:t>
                  </w:r>
                </w:p>
                <w:p w:rsidR="00054F73" w:rsidRDefault="00054F73" w:rsidP="00054F73">
                  <w:pPr>
                    <w:pStyle w:val="NormalWeb"/>
                    <w:framePr w:hSpace="141" w:wrap="around" w:vAnchor="text" w:hAnchor="text" w:y="1"/>
                    <w:suppressOverlap/>
                  </w:pPr>
                  <w:r>
                    <w:rPr>
                      <w:rFonts w:ascii="Georgia" w:hAnsi="Georgia"/>
                      <w:color w:val="333333"/>
                      <w:sz w:val="18"/>
                      <w:szCs w:val="18"/>
                    </w:rPr>
                    <w:t xml:space="preserve">Le CVC du CRSNG sera disponible au printemps 2013. Nous invitons les membres du milieu de la recherche à commencer à saisir leurs données dans le CVC dès qu'il sera disponible, puisque remplir les champs la première fois peut demander beaucoup de temps. Étant donné que les données de curriculum vitæ sont saisies une seule fois et qu'elles peuvent être utilisées pour présenter de futures demandes au CRSNG ou à d'autres organismes participants, le CV commun canadien allégera, à long terme, la charge de travail de la collectivité de la recherche. Pour obtenir plus de renseignements, y compris les échéanciers et la foire aux questions sur le CVC, veuillez consulter le </w:t>
                  </w:r>
                  <w:hyperlink r:id="rId9" w:history="1">
                    <w:r>
                      <w:rPr>
                        <w:rStyle w:val="Lienhypertexte"/>
                        <w:rFonts w:ascii="Georgia" w:hAnsi="Georgia"/>
                        <w:sz w:val="18"/>
                        <w:szCs w:val="18"/>
                      </w:rPr>
                      <w:t>Centre de ressources</w:t>
                    </w:r>
                  </w:hyperlink>
                  <w:r>
                    <w:rPr>
                      <w:rFonts w:ascii="Georgia" w:hAnsi="Georgia"/>
                      <w:color w:val="333333"/>
                      <w:sz w:val="18"/>
                      <w:szCs w:val="18"/>
                    </w:rPr>
                    <w:t xml:space="preserve"> du Portail de recherche dans le site Web du CRSNG.</w:t>
                  </w:r>
                </w:p>
                <w:p w:rsidR="00054F73" w:rsidRDefault="00054F73" w:rsidP="00054F73">
                  <w:pPr>
                    <w:pStyle w:val="NormalWeb"/>
                    <w:framePr w:hSpace="141" w:wrap="around" w:vAnchor="text" w:hAnchor="text" w:y="1"/>
                    <w:suppressOverlap/>
                  </w:pPr>
                  <w:r>
                    <w:rPr>
                      <w:rFonts w:ascii="Georgia" w:hAnsi="Georgia"/>
                      <w:color w:val="333333"/>
                      <w:sz w:val="18"/>
                      <w:szCs w:val="18"/>
                    </w:rPr>
                    <w:t>Les candidats aux autres possibilités de financement continueront d'utiliser le Système en ligne actuel et à remplir le formulaire 100, Formulaire de renseignements personnels, jusqu'à ce qu'elles soient intégrées au Portail de recherche. D'ici la fin 2015, le CRSNG aura adopté ce nouveau système pour toutes ses possibilités de financement. Entre-temps, étant donné l'intégration graduelle des programmes au Portail de recherche, les candidats présentant une demande dans le cadre de plusieurs concours du CRSNG devront tenir à jour à la fois leur formulaire 100 du CRSNG (Formulaire de renseignements personnels) et leur CVC du CRSNG.</w:t>
                  </w:r>
                </w:p>
                <w:p w:rsidR="00054F73" w:rsidRDefault="00054F73" w:rsidP="00054F73">
                  <w:pPr>
                    <w:pStyle w:val="NormalWeb"/>
                    <w:framePr w:hSpace="141" w:wrap="around" w:vAnchor="text" w:hAnchor="text" w:y="1"/>
                    <w:suppressOverlap/>
                  </w:pPr>
                  <w:r>
                    <w:rPr>
                      <w:rFonts w:ascii="Georgia" w:hAnsi="Georgia"/>
                      <w:color w:val="333333"/>
                      <w:sz w:val="18"/>
                      <w:szCs w:val="18"/>
                    </w:rPr>
                    <w:t xml:space="preserve">Le Conseil de recherches en sciences humaines du Canada (CRSH), avec lequel le CRSNG partage tous ses services administratifs, y compris les services </w:t>
                  </w:r>
                  <w:proofErr w:type="gramStart"/>
                  <w:r>
                    <w:rPr>
                      <w:rFonts w:ascii="Georgia" w:hAnsi="Georgia"/>
                      <w:color w:val="333333"/>
                      <w:sz w:val="18"/>
                      <w:szCs w:val="18"/>
                    </w:rPr>
                    <w:t>des technologie</w:t>
                  </w:r>
                  <w:proofErr w:type="gramEnd"/>
                  <w:r>
                    <w:rPr>
                      <w:rFonts w:ascii="Georgia" w:hAnsi="Georgia"/>
                      <w:color w:val="333333"/>
                      <w:sz w:val="18"/>
                      <w:szCs w:val="18"/>
                    </w:rPr>
                    <w:t xml:space="preserve"> de l'information, a récemment mené à terme son premier concours au moyen du Portail de recherche et le CVC. Ce concours concernait les </w:t>
                  </w:r>
                  <w:hyperlink r:id="rId10" w:history="1">
                    <w:r>
                      <w:rPr>
                        <w:rStyle w:val="Lienhypertexte"/>
                        <w:rFonts w:ascii="Georgia" w:hAnsi="Georgia"/>
                        <w:sz w:val="18"/>
                        <w:szCs w:val="18"/>
                      </w:rPr>
                      <w:t>subventions de développement Savoir</w:t>
                    </w:r>
                  </w:hyperlink>
                  <w:r>
                    <w:rPr>
                      <w:rFonts w:ascii="Georgia" w:hAnsi="Georgia"/>
                      <w:color w:val="333333"/>
                      <w:sz w:val="18"/>
                      <w:szCs w:val="18"/>
                    </w:rPr>
                    <w:t>.</w:t>
                  </w:r>
                </w:p>
              </w:tc>
            </w:tr>
          </w:tbl>
          <w:p w:rsidR="00054F73" w:rsidRDefault="00054F73" w:rsidP="00054F73">
            <w:r>
              <w:t> </w:t>
            </w:r>
          </w:p>
          <w:tbl>
            <w:tblPr>
              <w:tblW w:w="5000" w:type="pct"/>
              <w:jc w:val="center"/>
              <w:tblCellSpacing w:w="0" w:type="dxa"/>
              <w:tblCellMar>
                <w:left w:w="0" w:type="dxa"/>
                <w:right w:w="0" w:type="dxa"/>
              </w:tblCellMar>
              <w:tblLook w:val="04A0" w:firstRow="1" w:lastRow="0" w:firstColumn="1" w:lastColumn="0" w:noHBand="0" w:noVBand="1"/>
            </w:tblPr>
            <w:tblGrid>
              <w:gridCol w:w="11400"/>
            </w:tblGrid>
            <w:tr w:rsidR="00054F73">
              <w:trPr>
                <w:tblCellSpacing w:w="0" w:type="dxa"/>
                <w:jc w:val="center"/>
              </w:trPr>
              <w:tc>
                <w:tcPr>
                  <w:tcW w:w="0" w:type="auto"/>
                  <w:vAlign w:val="center"/>
                  <w:hideMark/>
                </w:tcPr>
                <w:p w:rsidR="00054F73" w:rsidRDefault="00054F73" w:rsidP="00054F73">
                  <w:pPr>
                    <w:framePr w:hSpace="141" w:wrap="around" w:vAnchor="text" w:hAnchor="text" w:y="1"/>
                    <w:suppressOverlap/>
                    <w:jc w:val="center"/>
                  </w:pPr>
                  <w:hyperlink r:id="rId11" w:history="1">
                    <w:r>
                      <w:rPr>
                        <w:rStyle w:val="Lienhypertexte"/>
                        <w:rFonts w:ascii="Arial" w:hAnsi="Arial" w:cs="Arial"/>
                        <w:sz w:val="18"/>
                        <w:szCs w:val="18"/>
                      </w:rPr>
                      <w:t>Contactez-nous</w:t>
                    </w:r>
                  </w:hyperlink>
                  <w:r>
                    <w:rPr>
                      <w:rFonts w:ascii="Arial" w:hAnsi="Arial" w:cs="Arial"/>
                      <w:color w:val="999999"/>
                      <w:sz w:val="18"/>
                      <w:szCs w:val="18"/>
                    </w:rPr>
                    <w:t xml:space="preserve"> </w:t>
                  </w:r>
                </w:p>
              </w:tc>
            </w:tr>
          </w:tbl>
          <w:p w:rsidR="00054F73" w:rsidRDefault="00054F73" w:rsidP="00054F73">
            <w:pPr>
              <w:jc w:val="center"/>
              <w:rPr>
                <w:rFonts w:eastAsia="Times New Roman"/>
                <w:sz w:val="20"/>
                <w:szCs w:val="20"/>
              </w:rPr>
            </w:pPr>
          </w:p>
        </w:tc>
      </w:tr>
    </w:tbl>
    <w:p w:rsidR="006C4564" w:rsidRDefault="006C4564" w:rsidP="00054F73">
      <w:bookmarkStart w:id="0" w:name="_GoBack"/>
      <w:bookmarkEnd w:id="0"/>
    </w:p>
    <w:sectPr w:rsidR="006C4564" w:rsidSect="00054F73">
      <w:pgSz w:w="15840" w:h="1224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73"/>
    <w:rsid w:val="00054F73"/>
    <w:rsid w:val="006C456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F73"/>
    <w:pPr>
      <w:spacing w:after="0" w:line="240" w:lineRule="auto"/>
    </w:pPr>
    <w:rPr>
      <w:rFonts w:ascii="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54F73"/>
    <w:rPr>
      <w:color w:val="0000FF"/>
      <w:u w:val="single"/>
    </w:rPr>
  </w:style>
  <w:style w:type="paragraph" w:styleId="NormalWeb">
    <w:name w:val="Normal (Web)"/>
    <w:basedOn w:val="Normal"/>
    <w:uiPriority w:val="99"/>
    <w:unhideWhenUsed/>
    <w:rsid w:val="00054F73"/>
    <w:pPr>
      <w:spacing w:before="100" w:beforeAutospacing="1" w:after="100" w:afterAutospacing="1"/>
    </w:pPr>
  </w:style>
  <w:style w:type="paragraph" w:styleId="Textedebulles">
    <w:name w:val="Balloon Text"/>
    <w:basedOn w:val="Normal"/>
    <w:link w:val="TextedebullesCar"/>
    <w:uiPriority w:val="99"/>
    <w:semiHidden/>
    <w:unhideWhenUsed/>
    <w:rsid w:val="00054F73"/>
    <w:rPr>
      <w:rFonts w:ascii="Tahoma" w:hAnsi="Tahoma" w:cs="Tahoma"/>
      <w:sz w:val="16"/>
      <w:szCs w:val="16"/>
    </w:rPr>
  </w:style>
  <w:style w:type="character" w:customStyle="1" w:styleId="TextedebullesCar">
    <w:name w:val="Texte de bulles Car"/>
    <w:basedOn w:val="Policepardfaut"/>
    <w:link w:val="Textedebulles"/>
    <w:uiPriority w:val="99"/>
    <w:semiHidden/>
    <w:rsid w:val="00054F73"/>
    <w:rPr>
      <w:rFonts w:ascii="Tahoma" w:hAnsi="Tahoma" w:cs="Tahoma"/>
      <w:sz w:val="16"/>
      <w:szCs w:val="16"/>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F73"/>
    <w:pPr>
      <w:spacing w:after="0" w:line="240" w:lineRule="auto"/>
    </w:pPr>
    <w:rPr>
      <w:rFonts w:ascii="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54F73"/>
    <w:rPr>
      <w:color w:val="0000FF"/>
      <w:u w:val="single"/>
    </w:rPr>
  </w:style>
  <w:style w:type="paragraph" w:styleId="NormalWeb">
    <w:name w:val="Normal (Web)"/>
    <w:basedOn w:val="Normal"/>
    <w:uiPriority w:val="99"/>
    <w:unhideWhenUsed/>
    <w:rsid w:val="00054F73"/>
    <w:pPr>
      <w:spacing w:before="100" w:beforeAutospacing="1" w:after="100" w:afterAutospacing="1"/>
    </w:pPr>
  </w:style>
  <w:style w:type="paragraph" w:styleId="Textedebulles">
    <w:name w:val="Balloon Text"/>
    <w:basedOn w:val="Normal"/>
    <w:link w:val="TextedebullesCar"/>
    <w:uiPriority w:val="99"/>
    <w:semiHidden/>
    <w:unhideWhenUsed/>
    <w:rsid w:val="00054F73"/>
    <w:rPr>
      <w:rFonts w:ascii="Tahoma" w:hAnsi="Tahoma" w:cs="Tahoma"/>
      <w:sz w:val="16"/>
      <w:szCs w:val="16"/>
    </w:rPr>
  </w:style>
  <w:style w:type="character" w:customStyle="1" w:styleId="TextedebullesCar">
    <w:name w:val="Texte de bulles Car"/>
    <w:basedOn w:val="Policepardfaut"/>
    <w:link w:val="Textedebulles"/>
    <w:uiPriority w:val="99"/>
    <w:semiHidden/>
    <w:rsid w:val="00054F73"/>
    <w:rPr>
      <w:rFonts w:ascii="Tahoma" w:hAnsi="Tahoma" w:cs="Tahoma"/>
      <w:sz w:val="16"/>
      <w:szCs w:val="16"/>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74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e=001wca33iF5D-fXlR0h2vm7neObvc9MIMsmW4MXcOTZn45KW_SCCKwYcCJaIq0Luie0V6qcfdLc305m5nnJgLehrw41SsUXS8M6OX-Xrswp5Ua1JOXJHJfeeNArkKuOJYXD4M8gkByNbo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mailto:bulletin@nserc-crsng.gc.ca" TargetMode="External"/><Relationship Id="rId5" Type="http://schemas.openxmlformats.org/officeDocument/2006/relationships/image" Target="media/image1.gif"/><Relationship Id="rId10" Type="http://schemas.openxmlformats.org/officeDocument/2006/relationships/hyperlink" Target="http://r20.rs6.net/tn.jsp?e=001wca33iF5D-fnI7aQyFpmbk0yHwXijsvaNhxkTwbDFXp-dn2QybUxwRvmZ0mWKsCzPT8v-pHqwh2mAfJQCqq8pebFPSU_IL_6OAKX8-IK5VmqWRlpd2aQ5wToAgTYpsa6myTB-pPTt6GODcm5hUZGA6g2Y0D-IVkGcD-zGgx56nRkawuJ4JVSAAjc21gHjB6hoDDVe9BNjnqiKnJPfyoVOKrv-IPTWOuKJQNQx-rUJH76XubOiJqpPmTVfI1g1EAL3fS409uUqaytknZ6LOK9Yg==" TargetMode="External"/><Relationship Id="rId4" Type="http://schemas.openxmlformats.org/officeDocument/2006/relationships/webSettings" Target="webSettings.xml"/><Relationship Id="rId9" Type="http://schemas.openxmlformats.org/officeDocument/2006/relationships/hyperlink" Target="http://r20.rs6.net/tn.jsp?e=001wca33iF5D-e0uEfgHOSx6v5fzf9Zdo33Z4aNsVFMtTBuqJQp-F2de7piEQt5W9SSD-ygL8c_Bj7HCg7EF-pwZCPBEqyTwKU4HQKbJQRjKu7jVuGmGCAS52APtm-laZg0q89_ynBApUUPsfkYJPlyRglXhs2Hod5gfeMQ6qAoe6Kj1KlGeSQWkxKWMZE1lbA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538</Words>
  <Characters>2965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de Moncton</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UdeM</dc:creator>
  <cp:lastModifiedBy>UdeM</cp:lastModifiedBy>
  <cp:revision>1</cp:revision>
  <dcterms:created xsi:type="dcterms:W3CDTF">2013-03-22T13:37:00Z</dcterms:created>
  <dcterms:modified xsi:type="dcterms:W3CDTF">2013-03-22T13:39:00Z</dcterms:modified>
</cp:coreProperties>
</file>